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附件5</w:t>
      </w:r>
    </w:p>
    <w:p>
      <w:pPr>
        <w:overflowPunct w:val="0"/>
        <w:spacing w:line="58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湖南省新型工业化产业示范基地发展定量指标汇总表</w:t>
      </w:r>
    </w:p>
    <w:p>
      <w:pPr>
        <w:overflowPunct w:val="0"/>
        <w:spacing w:line="580" w:lineRule="exact"/>
        <w:jc w:val="center"/>
        <w:rPr>
          <w:rFonts w:hint="default" w:ascii="Times New Roman" w:hAnsi="Times New Roman" w:eastAsia="方正小标宋简体" w:cs="Times New Roman"/>
          <w:sz w:val="44"/>
          <w:szCs w:val="44"/>
        </w:rPr>
      </w:pPr>
    </w:p>
    <w:tbl>
      <w:tblPr>
        <w:tblStyle w:val="2"/>
        <w:tblW w:w="1502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2975"/>
        <w:gridCol w:w="5481"/>
        <w:gridCol w:w="2382"/>
        <w:gridCol w:w="247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4" w:hRule="atLeast"/>
          <w:tblHeader/>
          <w:jc w:val="center"/>
        </w:trPr>
        <w:tc>
          <w:tcPr>
            <w:tcW w:w="1550"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261" w:right="249"/>
              <w:jc w:val="center"/>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一级指标</w:t>
            </w: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二级指标</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261" w:right="249"/>
              <w:jc w:val="center"/>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二级指标说明</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261" w:right="249"/>
              <w:jc w:val="center"/>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2022年数值</w:t>
            </w: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261" w:right="249"/>
              <w:jc w:val="center"/>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2023年数值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对外开放</w:t>
            </w: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1.实际使用外资金额（万美元）</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合同利用外资金额的实际执行数，外国投资者根据外商投资企业的合同（章程）的规定实际缴付的出资额和企业投资总额内外国投资者以自己的境外自有资金实际直接向企业提供的期限一年以上的中长期贷款。</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2.实际使用外资金额增速（％）</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示范基地工业企业实际使用外资增长率。</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3.进出口总额（亿元）</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示范基地企业实际输出和实际输入我国国境的货物总金额。</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4.进出口总额增速（％）</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示范基地企业进出口总额增长率。</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5.进出口额占所在地级市进出口额比重（％）</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示范基地进出口额与所在地级市进出口额的比重。</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产业实力</w:t>
            </w: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1.规模以上工业总产值（亿元）</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示范基地规模以上工业企业在评价年度生产的以货币形式表现的工业最终产品和提供工业劳务活动的总价值量。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2.主导产业营业收入占比（％）</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示范基地主导产业规模以上工业企业营业收入与示范基地规模以上工业企业营业收入之比。</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3.年度亩均固定资产投资强度（万元/亩）</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示范基地在评价年度单位工业用地面积的固定资产投资强度。</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4.亩均税收（万元/亩）</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示范基地工业税收总额与示范基地工业用地面积之比。</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5.上交税金总额（亿元）</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示范基地在评价年度的上交税金总额。</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6.工业税收总额增长率（％）</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示范基地评价年度工业税收总额增长率，即示范基地评价年度工业税收总额和其上年度工业税收总额的差与示范基地上年度的工业税收总额的比值。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7.规模以上工业企业数量（家）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8.营业收入4亿元及以上的制造企业数量（家）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根据企业年度审计报告，示范基地主营业务收入达到4亿元及以上的制造业企业的数量。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9.上市企业数量（家）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示范基地历年已在主板、中小板、创业板市场上市的企业数量。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u w:val="single"/>
              </w:rPr>
            </w:pPr>
            <w:r>
              <w:rPr>
                <w:rFonts w:hint="default" w:ascii="Times New Roman" w:hAnsi="Times New Roman" w:eastAsia="仿宋_GB2312" w:cs="Times New Roman"/>
              </w:rPr>
              <w:t>主板：</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中小板：</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创业板：</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u w:val="single"/>
              </w:rPr>
            </w:pPr>
            <w:r>
              <w:rPr>
                <w:rFonts w:hint="default" w:ascii="Times New Roman" w:hAnsi="Times New Roman" w:eastAsia="仿宋_GB2312" w:cs="Times New Roman"/>
              </w:rPr>
              <w:t>主板：</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中小板：</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创业板：</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10.土地开发利用率（％）</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示范基地已开发面积与示范基地实际管辖范围内规划面积的比值。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550"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质量效益</w:t>
            </w: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1.全员劳动生产率（万元/人）</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示范基地工业总产值与示范基地期末从业人员数的比值。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2.亩均生产总值（万元/亩）</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示范基地生产总值与示范基地实际开发用地面积之比。</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3.规模以上工业增加值增速（％）</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示范基地规模以上工业增加值增长速度，即示范基地评价年度规模以上工业增加值和其上年度规模以上工业增加值的差值与示范基地上年度规模以上工业增加值的比值。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4.规模以上工业企业利润增速（％）</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示范基地评价年度规模以上工业企业利润总额和其上年度规模以上工业企业利润总额的差值与示范基地上年度规模以上工业企业利润总额的比值。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5.主导产业增加值增速幅度（％）</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示范基地评价年度主导产业增加值增速与其评价年度的上年度主导产业增加值增速的差值。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6.编制标准数量（项）</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示范基地企业历年累计主（参）编且已发布实施的行业、国家或国际标准的数量。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国际标准：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国家标准：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行业标准：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w:t>
            </w: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国际标准：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国家标准：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行业标准：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7.通过体系认证企业的比重（％）</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示范基地历年累计通过质量管理体系、绿色产品认证体系、能源管理体系、信息安全管理体系认证企业数量与示范基地企业数量的比值。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8.荣获政府质量奖数量（项）</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示范基地历年荣获地级市及以上人民政府和省级及以上行业协会颁发的质量奖（含提名奖）组织和个人数量之和。</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9.质量管理专业高级职称人数占比（％）</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示范基地规模以上工业企业具有质量管理专业高级职称的从业人员数量占示范基地规模以上工业企业期末从业人员数量的比重。</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1550"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创新驱动</w:t>
            </w: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1.年度研发人员数量占比（％）</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示范基地评价年度期末研发人员数量占示范基地期末从业人员数量的比重。</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2.规模以上工业企业研发费用占比（％）</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示范基地规模以上工业企业研究与试验发展经费（R&amp;D经费）内部支出总额占示范基地规模以上工业企业营业收入的比重。</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3.规模以上工业企业每亿元营业收入有效发明专利数（件）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示范基地规模以上工业企业拥有的发明专利总数与示范基地规模以上工业企业营业收入的比值。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4.省级及以上研发机构数量（家）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示范基地历年已获批的与主导产业相关的省级及以上研发机构数量。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5.省级及以上创新载体数量（家）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示范基地历年已获批的与主导产业相关的省级及以上创新载体数量之和。</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6.高新技术产业增加值增速（％）</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示范基地评价年度高新技术产业增加值和其评价年度的上年度高新技术产业增加值的差值与示范基地评价年度的上年度高新技术产业增加值之比。</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7.技术合同交易额（亿元）</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针对技术开发、技术转让、技术咨询和技术服务类合同的技术性收入。</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绿色集约安全</w:t>
            </w: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1.单位工业增加值能耗降低率</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示范基地评价年度的上年度单位工业增加值能耗和评价年度单位工业增加值能耗的差值与示范基地评价年度的上年度单位工业增加值能耗之比。</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2.单位水耗工业增加值（万元/吨）</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示范基地规模以上工业增加值与规模以上工业企业用新水量的比值。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3.工业固体废弃物综合利用率</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工业固体废弃物综合利用量占工业固体废弃物产生量(包括综合利用往年贮存量)的比重。</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4.绿色制造体系单位数量（家）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示范基地历年被列入省级及以上绿色制造体系单位名单的企业数量。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融合发展</w:t>
            </w:r>
          </w:p>
        </w:tc>
        <w:tc>
          <w:tcPr>
            <w:tcW w:w="2693"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1.专精特新企业数量（家）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示范基地评价年度新增被列入国家级制造业单项冠军企业（产品）、国家级专精特新“小巨人”企业名单的企业数量。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国家级制造业单项冠军企业（产品）</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u w:val="single"/>
              </w:rPr>
            </w:pPr>
            <w:r>
              <w:rPr>
                <w:rFonts w:hint="default" w:ascii="Times New Roman" w:hAnsi="Times New Roman" w:eastAsia="仿宋_GB2312" w:cs="Times New Roman"/>
              </w:rPr>
              <w:t>国家级专精特新“小巨人”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国家级制造业单项冠军企业（产品）</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国家级专精特新“小巨人”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示范基地评价年度新增被列入省级制造业单项冠军企业（产品）、省级专精特新企业名单的企业数量。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省级制造业单项冠军企业（产品）</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省级专精特新企业</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省级制造业单项冠军企业（产品）</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省级专精特新企业</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2.两化融合贯标企业数量（家）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示范基地历年已获批的国家级两化融合管理体系贯标企业和省级两化融合管理体系贯标标杆企业的数量。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3.智能制造示范企业数量（家）</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示范基地历年已获批的省级及以上智能制造示范企业数量。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4.工业互联网平台数量（个）</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示范基地历年已获批的省级及以上工业互联网平台数量。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5.省级制造业“三化”重点项目数量（个）</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示范基地历年入选湖南省制造业数字化转型“三化”重点项目数量。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6.“上云上平台”企业数量比重（％）</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示范基地历年“上云上平台”企业数量与示范基地工业企业数量的比值。</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550" w:type="dxa"/>
            <w:vMerge w:val="restart"/>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发展环境</w:t>
            </w: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1.公共服务平台数量（个）</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示范基地历年已获批的经相关政府部门认定的省级及以上公共服务平台数量。</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2.高级职称人数占比（％）</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示范基地规模以上工业企业评价年度期末具有高级职称的从业人员数量占示范基地规模以上工业企业评价年度期末从业人员数量的比重。</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20" w:lineRule="exact"/>
              <w:ind w:left="113" w:right="79"/>
              <w:jc w:val="both"/>
              <w:textAlignment w:val="auto"/>
              <w:rPr>
                <w:rFonts w:hint="default" w:ascii="Times New Roman" w:hAnsi="Times New Roman" w:eastAsia="仿宋_GB2312"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1550" w:type="dxa"/>
            <w:vMerge w:val="continue"/>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352" w:right="338"/>
              <w:jc w:val="center"/>
              <w:textAlignment w:val="auto"/>
              <w:rPr>
                <w:rFonts w:hint="default" w:ascii="Times New Roman" w:hAnsi="Times New Roman" w:eastAsia="仿宋_GB2312" w:cs="Times New Roman"/>
              </w:rPr>
            </w:pPr>
          </w:p>
        </w:tc>
        <w:tc>
          <w:tcPr>
            <w:tcW w:w="2693"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0" w:right="92"/>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3.本科以上学历人数占比（％）</w:t>
            </w:r>
          </w:p>
        </w:tc>
        <w:tc>
          <w:tcPr>
            <w:tcW w:w="4961" w:type="dxa"/>
            <w:vAlign w:val="center"/>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示范基地规模以上工业企业评价年度期末具有本科以上学历的从业人员数量占示范基地规模以上工业企业评价年度期末从业人员数量的比重。</w:t>
            </w:r>
          </w:p>
        </w:tc>
        <w:tc>
          <w:tcPr>
            <w:tcW w:w="2156"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c>
          <w:tcPr>
            <w:tcW w:w="2238" w:type="dxa"/>
          </w:tcPr>
          <w:p>
            <w:pPr>
              <w:pStyle w:val="4"/>
              <w:keepNext w:val="0"/>
              <w:keepLines w:val="0"/>
              <w:pageBreakBefore w:val="0"/>
              <w:widowControl w:val="0"/>
              <w:kinsoku/>
              <w:wordWrap w:val="0"/>
              <w:overflowPunct w:val="0"/>
              <w:topLinePunct/>
              <w:autoSpaceDE/>
              <w:autoSpaceDN/>
              <w:bidi w:val="0"/>
              <w:adjustRightInd w:val="0"/>
              <w:snapToGrid/>
              <w:spacing w:line="360" w:lineRule="exact"/>
              <w:ind w:left="113" w:right="79"/>
              <w:jc w:val="both"/>
              <w:textAlignment w:val="auto"/>
              <w:rPr>
                <w:rFonts w:hint="default" w:ascii="Times New Roman" w:hAnsi="Times New Roman" w:eastAsia="仿宋_GB2312" w:cs="Times New Roman"/>
              </w:rPr>
            </w:pPr>
          </w:p>
        </w:tc>
      </w:tr>
    </w:tbl>
    <w:p>
      <w:pPr>
        <w:spacing w:line="580" w:lineRule="exact"/>
        <w:ind w:left="-2" w:leftChars="-1" w:firstLine="2"/>
        <w:rPr>
          <w:rFonts w:hint="default" w:ascii="Times New Roman" w:hAnsi="Times New Roman" w:eastAsia="黑体" w:cs="Times New Roman"/>
          <w:sz w:val="28"/>
          <w:szCs w:val="28"/>
        </w:rPr>
        <w:sectPr>
          <w:pgSz w:w="16838" w:h="11906" w:orient="landscape"/>
          <w:pgMar w:top="1797" w:right="1440" w:bottom="1797" w:left="1440" w:header="851" w:footer="992" w:gutter="0"/>
          <w:pgNumType w:fmt="numberInDash"/>
          <w:cols w:space="425" w:num="1"/>
          <w:docGrid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C77F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2024-04-19T09:11:39Z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