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附件2</w:t>
      </w:r>
    </w:p>
    <w:p>
      <w:pPr>
        <w:overflowPunct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湖南省新型工业化产业示范基地发展质量定量评价指标体系</w:t>
      </w:r>
    </w:p>
    <w:p>
      <w:pPr>
        <w:overflowPunct w:val="0"/>
        <w:spacing w:line="580" w:lineRule="exact"/>
        <w:jc w:val="center"/>
        <w:rPr>
          <w:rFonts w:hint="default" w:ascii="Times New Roman" w:hAnsi="Times New Roman" w:eastAsia="方正小标宋简体" w:cs="Times New Roman"/>
          <w:sz w:val="44"/>
          <w:szCs w:val="44"/>
        </w:rPr>
      </w:pPr>
    </w:p>
    <w:tbl>
      <w:tblPr>
        <w:tblStyle w:val="3"/>
        <w:tblW w:w="1502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220"/>
        <w:gridCol w:w="902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4" w:hRule="atLeast"/>
          <w:tblHeader/>
          <w:jc w:val="center"/>
        </w:trPr>
        <w:tc>
          <w:tcPr>
            <w:tcW w:w="1550" w:type="dxa"/>
            <w:vAlign w:val="center"/>
          </w:tcPr>
          <w:p>
            <w:pPr>
              <w:pStyle w:val="5"/>
              <w:overflowPunct w:val="0"/>
              <w:topLinePunct/>
              <w:autoSpaceDE/>
              <w:autoSpaceDN/>
              <w:spacing w:line="400" w:lineRule="exact"/>
              <w:ind w:left="261" w:right="249"/>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rPr>
              <w:t>一级指标</w:t>
            </w:r>
          </w:p>
        </w:tc>
        <w:tc>
          <w:tcPr>
            <w:tcW w:w="3685" w:type="dxa"/>
            <w:vAlign w:val="center"/>
          </w:tcPr>
          <w:p>
            <w:pPr>
              <w:pStyle w:val="5"/>
              <w:overflowPunct w:val="0"/>
              <w:topLinePunct/>
              <w:autoSpaceDE/>
              <w:autoSpaceDN/>
              <w:spacing w:line="40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rPr>
              <w:t>二级指标</w:t>
            </w:r>
          </w:p>
        </w:tc>
        <w:tc>
          <w:tcPr>
            <w:tcW w:w="7883" w:type="dxa"/>
            <w:vAlign w:val="center"/>
          </w:tcPr>
          <w:p>
            <w:pPr>
              <w:pStyle w:val="5"/>
              <w:overflowPunct w:val="0"/>
              <w:topLinePunct/>
              <w:autoSpaceDE/>
              <w:autoSpaceDN/>
              <w:spacing w:line="400" w:lineRule="exact"/>
              <w:ind w:left="261" w:right="249"/>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rPr>
              <w:t>二级指标说明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64"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对外开放</w:t>
            </w: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1.实际使用外资金额（万美元）</w:t>
            </w:r>
          </w:p>
        </w:tc>
        <w:tc>
          <w:tcPr>
            <w:tcW w:w="7883"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示范基地合同利用外资金额的实际执行数，外国投资者根据外商投资企业的合同（章程）的规定实际缴付的出资额和企业投资总额内外国投资者以自己的境外自有资金实际直接向企业提供的期限一年以上的中长期贷款。</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1550" w:type="dxa"/>
            <w:vMerge w:val="continue"/>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2.实际使用外资金额增速（％）</w:t>
            </w:r>
          </w:p>
        </w:tc>
        <w:tc>
          <w:tcPr>
            <w:tcW w:w="7883"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示范基地工业企业实际使用外资增长率。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550" w:type="dxa"/>
            <w:vMerge w:val="continue"/>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3.进出口总额（亿元）</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示范基地企业实际输出和实际输入我国国境的货物总金额。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550" w:type="dxa"/>
            <w:vMerge w:val="continue"/>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4.进出口总额增速（％）</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示范基地企业进出口总额增长率。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5.进出口额占所在地级市进出口额比重（％）</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示范基地进出口额与所在地级市进出口额的比重。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产业实力</w:t>
            </w: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1.规模以上工业总产值（亿元）</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示范基地规模以上工业企业在评价年度生产的以货币形式表现的工业最终产品和提供工业劳务活动的总价值量。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2.主导产业营业收入占比（％）</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示范基地主导产业规模以上工业企业营业收入与示范基地规模以上工业企业营业收入之比。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3.年度亩均固定资产投资强度（万元/亩）</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示范基地在评价年度单位工业用地面积的固定资产投资强度。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4.亩均税收（万元/亩）</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示范基地工业税收总额与示范基地工业用地面积之比。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5.上交税金总额（亿元）</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示范基地在评价年度的上交税金总额。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6.工业税收总额增长率（％）</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示范基地评价年度工业税收总额增长率，即示范基地评价年度工业税收总额和其上年度工业税收总额的差与示范基地上年度的工业税收总额的比值。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7.规模以上工业企业数量（家）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8.营业收入4亿元及以上的制造企业数量（家）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根据企业年度审计报告，示范基地主营业务收入达到4亿元及以上的制造业企业的数量。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9.上市企业数量（家）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示范基地历年已在主板、中小板、创业板市场上市的企业数量。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10.土地开发利用率（％）</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示范基地已开发面积与示范基地实际管辖范围内规划面积的比值。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550" w:type="dxa"/>
            <w:vMerge w:val="restart"/>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质量效益</w:t>
            </w: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1.全员劳动生产率（万元/人）</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示范基地工业总产值与示范基地期末从业人员数的比值。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2.亩均生产总值（万元/亩）</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示范基地生产总值与示范基地实际开发用地面积之比。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3.规模以上工业增加值增速（％）</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示范基地规模以上工业增加值增长速度，即示范基地评价年度规模以上工业增加值和其上年度规模以上工业增加值的差值与示范基地上年度规模以上工业增加值的比值。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4.规模以上工业企业利润增速（％）</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示范基地评价年度规模以上工业企业利润总额和其上年度规模以上工业企业利润总额的差值与示范基地上年度规模以上工业企业利润总额的比值。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5.主导产业增加值增速幅度（％）</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示范基地评价年度主导产业增加值增速与其评价年度的上年度主导产业增加值增速的差值。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6.编制标准数量（项）</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示范基地企业历年累计主（参）编且已发布实施的行业、国家或国际标准的数量。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7.通过体系认证企业的比重（％）</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示范基地历年累计通过质量管理体系、绿色产品认证体系、能源管理体系、信息安全管理体系认证企业数量与示范基地企业数量的比值。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1550" w:type="dxa"/>
            <w:vMerge w:val="continue"/>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3685"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8.荣获政府质量奖数量（项）</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示范基地历年荣获地级市及以上人民政府和省级及以上行业协会颁发的质量奖（含提名奖）组织和个人数量之和。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9.质量管理专业高级职称人数占比（％）</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示范基地规模以上工业企业具有质量管理专业高级职称的从业人员数量占示范基地规模以上工业企业期末从业人员数量的比重。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创新驱动</w:t>
            </w: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1.年度研发人员数量占比（％）</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示范基地评价年度期末研发人员数量占示范基地期末从业人员数量的比重。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2.规模以上工业企业研发费用占比（％）</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示范基地规模以上工业企业研究与试验发展经费（R&amp;D经费）内部支出总额占示范基地规模以上工业企业营业收入的比重。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3.规模以上工业企业每亿元营业收入有效发明专利数（件）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示范基地规模以上工业企业拥有的发明专利总数与示范基地规模以上工业企业营业收入的比值。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4.省级及以上研发机构数量（家）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示范基地历年已获批的与主导产业相关的省级及以上研发机构数量。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5.省级及以上创新载体数量（家）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示范基地历年已获批的与主导产业相关的省级及以上创新载体数量之和。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6.高新技术产业增加值增速（％）</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示范基地评价年度高新技术产业增加值和其评价年度的上年度高新技术产业增加值的差值与示范基地评价年度的上年度高新技术产业增加值之比。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7.技术合同交易额（亿元）</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针对技术开发、技术转让、技术咨询和技术服务类合同的技术性收入。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绿色集约安全</w:t>
            </w: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1.单位工业增加值能耗降低率</w:t>
            </w:r>
          </w:p>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示范基地评价年度的上年度单位工业增加值能耗和评价年度单位工业增加值能耗的差值与示范基地评价年度的上年度单位工业增加值能耗之比。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2.单位水耗工业增加值（万元/吨）</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示范基地规模以上工业增加值与规模以上工业企业用新水量的比值。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3.工业固体废弃物综合利用率（％）</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spacing w:val="-6"/>
                <w:sz w:val="24"/>
              </w:rPr>
              <w:t>工业固体废弃物综合利用量占工业固体废弃物产生量(包括综合利用往年贮存量)的比重。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4.绿色制造体系单位数量（家）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示范基地历年被列入省级及以上绿色制造体系单位名单的企业数量。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融合发展</w:t>
            </w:r>
          </w:p>
        </w:tc>
        <w:tc>
          <w:tcPr>
            <w:tcW w:w="3685" w:type="dxa"/>
            <w:vMerge w:val="restart"/>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1.专精特新企业数量（家）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示范基地评价年度新增被列入国家级制造业单项冠军企业（产品）、国家级专精特新“小巨人”企业名单的企业数量。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Merge w:val="continue"/>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示范基地评价年度新增被列入省级制造业单项冠军企业（产品）、省级专精特新企业名单的企业数量。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2.两化融合贯标企业数量（家）</w:t>
            </w:r>
          </w:p>
        </w:tc>
        <w:tc>
          <w:tcPr>
            <w:tcW w:w="7883" w:type="dxa"/>
            <w:vAlign w:val="center"/>
          </w:tcPr>
          <w:p>
            <w:pPr>
              <w:pStyle w:val="5"/>
              <w:keepNext w:val="0"/>
              <w:keepLines w:val="0"/>
              <w:pageBreakBefore w:val="0"/>
              <w:widowControl w:val="0"/>
              <w:kinsoku/>
              <w:wordWrap/>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示范基地历年已获批的国家级两化融合管理体系贯标企业和省级两化融合管理体系贯标标杆企业的数量。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3.智能制造示范企业数量（家）</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示范基地历年已获批的省级及以上智能制造示范企业数量。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4.工业互联网平台数量（个）</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示范基地历年已获批的省级及以上工业互联网平台数量。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5.省级制造业“三化”重点项目数量（个）</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示范基地历年入选湖南省制造业数字化转型“三化”重点项目数量项目数量。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6.“上云上平台”企业数量比重（％）</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示范基地历年“上云上平台”企业数量与示范基地工业企业数量的比值。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1550" w:type="dxa"/>
            <w:vMerge w:val="restart"/>
            <w:vAlign w:val="center"/>
          </w:tcPr>
          <w:p>
            <w:pPr>
              <w:pStyle w:val="5"/>
              <w:overflowPunct w:val="0"/>
              <w:topLinePunct/>
              <w:autoSpaceDE/>
              <w:autoSpaceDN/>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发展环境</w:t>
            </w: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1.公共服务平台数量（个）</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示范基地历年已获批的经相关政府部门认定的省级及以上公共服务平台数量。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2.高级职称人数占比（％）</w:t>
            </w:r>
          </w:p>
        </w:tc>
        <w:tc>
          <w:tcPr>
            <w:tcW w:w="7883" w:type="dxa"/>
            <w:vAlign w:val="center"/>
          </w:tcPr>
          <w:p>
            <w:pPr>
              <w:pStyle w:val="5"/>
              <w:overflowPunct w:val="0"/>
              <w:topLinePunct/>
              <w:autoSpaceDE/>
              <w:autoSpaceDN/>
              <w:spacing w:line="400" w:lineRule="exact"/>
              <w:ind w:left="113"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示范基地规模以上工业企业评价年度期末具有高级职称的从业人员数量占示范基地规模以上工业企业评价年度期末从业人员数量的比重。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5"/>
              <w:overflowPunct w:val="0"/>
              <w:topLinePunct/>
              <w:autoSpaceDE/>
              <w:autoSpaceDN/>
              <w:spacing w:line="400" w:lineRule="exact"/>
              <w:ind w:left="352" w:right="338"/>
              <w:jc w:val="center"/>
              <w:rPr>
                <w:rFonts w:hint="default" w:ascii="Times New Roman" w:hAnsi="Times New Roman" w:eastAsia="仿宋_GB2312" w:cs="Times New Roman"/>
              </w:rPr>
            </w:pPr>
          </w:p>
        </w:tc>
        <w:tc>
          <w:tcPr>
            <w:tcW w:w="3685" w:type="dxa"/>
            <w:vAlign w:val="center"/>
          </w:tcPr>
          <w:p>
            <w:pPr>
              <w:pStyle w:val="5"/>
              <w:overflowPunct w:val="0"/>
              <w:topLinePunct/>
              <w:autoSpaceDE/>
              <w:autoSpaceDN/>
              <w:spacing w:line="400" w:lineRule="exact"/>
              <w:ind w:left="110" w:right="92"/>
              <w:jc w:val="both"/>
              <w:rPr>
                <w:rFonts w:hint="default" w:ascii="Times New Roman" w:hAnsi="Times New Roman" w:eastAsia="仿宋_GB2312" w:cs="Times New Roman"/>
              </w:rPr>
            </w:pPr>
            <w:r>
              <w:rPr>
                <w:rFonts w:hint="default" w:ascii="Times New Roman" w:hAnsi="Times New Roman" w:eastAsia="仿宋_GB2312" w:cs="Times New Roman"/>
              </w:rPr>
              <w:t>3.本科以上学历人数占比（％）</w:t>
            </w:r>
          </w:p>
        </w:tc>
        <w:tc>
          <w:tcPr>
            <w:tcW w:w="7883" w:type="dxa"/>
            <w:vAlign w:val="center"/>
          </w:tcPr>
          <w:p>
            <w:pPr>
              <w:pStyle w:val="5"/>
              <w:overflowPunct w:val="0"/>
              <w:topLinePunct/>
              <w:autoSpaceDE/>
              <w:autoSpaceDN/>
              <w:spacing w:line="400" w:lineRule="exact"/>
              <w:ind w:left="-1985" w:right="79"/>
              <w:jc w:val="both"/>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示范基地规模以上工业企业评价年度期末具有本科以上学历的从业人员数量占示范基地规模以上工业企业评价年度期末从业人员数量的比重。</w:t>
            </w:r>
          </w:p>
        </w:tc>
      </w:tr>
    </w:tbl>
    <w:p>
      <w:pPr>
        <w:spacing w:line="580" w:lineRule="exact"/>
        <w:rPr>
          <w:rFonts w:hint="default" w:ascii="Times New Roman" w:hAnsi="Times New Roman" w:eastAsia="黑体" w:cs="Times New Roman"/>
          <w:sz w:val="28"/>
          <w:szCs w:val="28"/>
        </w:rPr>
        <w:sectPr>
          <w:pgSz w:w="16838" w:h="11906" w:orient="landscape"/>
          <w:pgMar w:top="1797" w:right="1440" w:bottom="1797" w:left="1440" w:header="851" w:footer="992" w:gutter="0"/>
          <w:pgNumType w:fmt="numberInDash"/>
          <w:cols w:space="425" w:num="1"/>
          <w:docGrid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C4C9B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2024-04-19T09:09:38Z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