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jc w:val="both"/>
        <w:textAlignment w:val="auto"/>
        <w:rPr>
          <w:rFonts w:ascii="Times New Roman" w:hAnsi="Times New Roman" w:eastAsia="黑体" w:cs="Times New Roman"/>
          <w:snapToGrid/>
          <w:kern w:val="2"/>
          <w:sz w:val="32"/>
          <w:szCs w:val="32"/>
        </w:rPr>
      </w:pPr>
      <w:r>
        <w:rPr>
          <w:rFonts w:ascii="Times New Roman" w:hAnsi="Times New Roman" w:eastAsia="黑体" w:cs="Times New Roman"/>
          <w:snapToGrid/>
          <w:kern w:val="2"/>
          <w:sz w:val="32"/>
          <w:szCs w:val="32"/>
        </w:rPr>
        <w:t>附件2</w:t>
      </w:r>
    </w:p>
    <w:p>
      <w:pPr>
        <w:widowControl w:val="0"/>
        <w:kinsoku/>
        <w:autoSpaceDE/>
        <w:autoSpaceDN/>
        <w:adjustRightInd/>
        <w:snapToGrid/>
        <w:jc w:val="both"/>
        <w:textAlignment w:val="auto"/>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 xml:space="preserve">                                              </w:t>
      </w:r>
    </w:p>
    <w:p>
      <w:pPr>
        <w:widowControl w:val="0"/>
        <w:kinsoku/>
        <w:autoSpaceDE/>
        <w:autoSpaceDN/>
        <w:adjustRightInd/>
        <w:snapToGrid/>
        <w:spacing w:line="360" w:lineRule="auto"/>
        <w:jc w:val="center"/>
        <w:textAlignment w:val="auto"/>
        <w:rPr>
          <w:rFonts w:ascii="Times New Roman" w:hAnsi="Times New Roman" w:eastAsia="方正小标宋简体" w:cs="Times New Roman"/>
          <w:bCs/>
          <w:snapToGrid/>
          <w:kern w:val="2"/>
          <w:sz w:val="52"/>
          <w:szCs w:val="52"/>
        </w:rPr>
      </w:pPr>
    </w:p>
    <w:p>
      <w:pPr>
        <w:widowControl w:val="0"/>
        <w:kinsoku/>
        <w:autoSpaceDE/>
        <w:autoSpaceDN/>
        <w:adjustRightInd/>
        <w:snapToGrid/>
        <w:spacing w:line="360" w:lineRule="auto"/>
        <w:jc w:val="center"/>
        <w:textAlignment w:val="auto"/>
        <w:rPr>
          <w:rFonts w:ascii="Times New Roman" w:hAnsi="Times New Roman" w:eastAsia="方正小标宋简体" w:cs="Times New Roman"/>
          <w:bCs/>
          <w:snapToGrid/>
          <w:kern w:val="2"/>
          <w:sz w:val="52"/>
          <w:szCs w:val="52"/>
        </w:rPr>
      </w:pPr>
    </w:p>
    <w:p>
      <w:pPr>
        <w:widowControl w:val="0"/>
        <w:kinsoku/>
        <w:autoSpaceDE/>
        <w:autoSpaceDN/>
        <w:adjustRightInd/>
        <w:snapToGrid/>
        <w:spacing w:line="360" w:lineRule="auto"/>
        <w:jc w:val="center"/>
        <w:textAlignment w:val="auto"/>
        <w:rPr>
          <w:rFonts w:ascii="Times New Roman" w:hAnsi="Times New Roman" w:eastAsia="方正小标宋简体" w:cs="Times New Roman"/>
          <w:bCs/>
          <w:snapToGrid/>
          <w:kern w:val="2"/>
          <w:sz w:val="52"/>
          <w:szCs w:val="52"/>
        </w:rPr>
      </w:pPr>
      <w:r>
        <w:rPr>
          <w:rFonts w:ascii="Times New Roman" w:hAnsi="Times New Roman" w:eastAsia="方正小标宋简体" w:cs="Times New Roman"/>
          <w:bCs/>
          <w:snapToGrid/>
          <w:kern w:val="2"/>
          <w:sz w:val="52"/>
          <w:szCs w:val="52"/>
        </w:rPr>
        <w:t>湖南省绿色工厂第三方评价报告</w:t>
      </w:r>
    </w:p>
    <w:p>
      <w:pPr>
        <w:widowControl w:val="0"/>
        <w:kinsoku/>
        <w:autoSpaceDE/>
        <w:autoSpaceDN/>
        <w:adjustRightInd/>
        <w:snapToGrid/>
        <w:jc w:val="both"/>
        <w:textAlignment w:val="auto"/>
        <w:rPr>
          <w:rFonts w:ascii="Times New Roman" w:hAnsi="Times New Roman" w:eastAsia="仿宋_GB2312" w:cs="Times New Roman"/>
          <w:snapToGrid/>
          <w:kern w:val="2"/>
          <w:sz w:val="28"/>
          <w:szCs w:val="22"/>
        </w:rPr>
      </w:pPr>
    </w:p>
    <w:p>
      <w:pPr>
        <w:widowControl w:val="0"/>
        <w:kinsoku/>
        <w:autoSpaceDE/>
        <w:autoSpaceDN/>
        <w:adjustRightInd/>
        <w:snapToGrid/>
        <w:jc w:val="both"/>
        <w:textAlignment w:val="auto"/>
        <w:rPr>
          <w:rFonts w:ascii="Times New Roman" w:hAnsi="Times New Roman" w:eastAsia="仿宋_GB2312" w:cs="Times New Roman"/>
          <w:snapToGrid/>
          <w:kern w:val="2"/>
          <w:sz w:val="28"/>
          <w:szCs w:val="22"/>
        </w:rPr>
      </w:pPr>
    </w:p>
    <w:p>
      <w:pPr>
        <w:widowControl w:val="0"/>
        <w:kinsoku/>
        <w:autoSpaceDE/>
        <w:autoSpaceDN/>
        <w:adjustRightInd/>
        <w:snapToGrid/>
        <w:jc w:val="both"/>
        <w:textAlignment w:val="auto"/>
        <w:rPr>
          <w:rFonts w:ascii="Times New Roman" w:hAnsi="Times New Roman" w:eastAsia="方正仿宋简体" w:cs="Times New Roman"/>
          <w:snapToGrid/>
          <w:kern w:val="2"/>
          <w:sz w:val="32"/>
          <w:szCs w:val="22"/>
        </w:rPr>
      </w:pPr>
    </w:p>
    <w:p>
      <w:pPr>
        <w:widowControl w:val="0"/>
        <w:kinsoku/>
        <w:autoSpaceDE/>
        <w:autoSpaceDN/>
        <w:adjustRightInd/>
        <w:snapToGrid/>
        <w:jc w:val="both"/>
        <w:textAlignment w:val="auto"/>
        <w:rPr>
          <w:rFonts w:ascii="Times New Roman" w:hAnsi="Times New Roman" w:eastAsia="方正仿宋简体" w:cs="Times New Roman"/>
          <w:snapToGrid/>
          <w:kern w:val="2"/>
          <w:sz w:val="32"/>
          <w:szCs w:val="22"/>
        </w:rPr>
      </w:pPr>
    </w:p>
    <w:p>
      <w:pPr>
        <w:widowControl w:val="0"/>
        <w:kinsoku/>
        <w:autoSpaceDE/>
        <w:autoSpaceDN/>
        <w:adjustRightInd/>
        <w:snapToGrid/>
        <w:jc w:val="both"/>
        <w:textAlignment w:val="auto"/>
        <w:rPr>
          <w:rFonts w:ascii="Times New Roman" w:hAnsi="Times New Roman" w:eastAsia="方正仿宋简体" w:cs="Times New Roman"/>
          <w:snapToGrid/>
          <w:kern w:val="2"/>
          <w:sz w:val="32"/>
          <w:szCs w:val="22"/>
        </w:rPr>
      </w:pPr>
    </w:p>
    <w:p>
      <w:pPr>
        <w:widowControl w:val="0"/>
        <w:kinsoku/>
        <w:autoSpaceDE/>
        <w:autoSpaceDN/>
        <w:adjustRightInd/>
        <w:snapToGrid/>
        <w:spacing w:line="360" w:lineRule="auto"/>
        <w:ind w:firstLine="960" w:firstLineChars="300"/>
        <w:jc w:val="both"/>
        <w:textAlignment w:val="auto"/>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工    厂   名   称：</w:t>
      </w:r>
      <w:r>
        <w:rPr>
          <w:rFonts w:ascii="Times New Roman" w:hAnsi="Times New Roman" w:eastAsia="仿宋_GB2312" w:cs="Times New Roman"/>
          <w:snapToGrid/>
          <w:kern w:val="2"/>
          <w:sz w:val="32"/>
          <w:szCs w:val="32"/>
          <w:u w:val="single"/>
        </w:rPr>
        <w:tab/>
      </w:r>
      <w:r>
        <w:rPr>
          <w:rFonts w:ascii="Times New Roman" w:hAnsi="Times New Roman" w:eastAsia="仿宋_GB2312" w:cs="Times New Roman"/>
          <w:snapToGrid/>
          <w:kern w:val="2"/>
          <w:sz w:val="32"/>
          <w:szCs w:val="32"/>
          <w:u w:val="single"/>
        </w:rPr>
        <w:tab/>
      </w:r>
      <w:r>
        <w:rPr>
          <w:rFonts w:ascii="Times New Roman" w:hAnsi="Times New Roman" w:eastAsia="仿宋_GB2312" w:cs="Times New Roman"/>
          <w:snapToGrid/>
          <w:kern w:val="2"/>
          <w:sz w:val="32"/>
          <w:szCs w:val="32"/>
          <w:u w:val="single"/>
        </w:rPr>
        <w:tab/>
      </w:r>
      <w:r>
        <w:rPr>
          <w:rFonts w:ascii="Times New Roman" w:hAnsi="Times New Roman" w:eastAsia="仿宋_GB2312" w:cs="Times New Roman"/>
          <w:snapToGrid/>
          <w:kern w:val="2"/>
          <w:sz w:val="32"/>
          <w:szCs w:val="32"/>
          <w:u w:val="single"/>
        </w:rPr>
        <w:tab/>
      </w:r>
      <w:r>
        <w:rPr>
          <w:rFonts w:ascii="Times New Roman" w:hAnsi="Times New Roman" w:eastAsia="仿宋_GB2312" w:cs="Times New Roman"/>
          <w:snapToGrid/>
          <w:kern w:val="2"/>
          <w:sz w:val="32"/>
          <w:szCs w:val="32"/>
          <w:u w:val="single"/>
        </w:rPr>
        <w:tab/>
      </w:r>
      <w:r>
        <w:rPr>
          <w:rFonts w:ascii="Times New Roman" w:hAnsi="Times New Roman" w:eastAsia="仿宋_GB2312" w:cs="Times New Roman"/>
          <w:snapToGrid/>
          <w:kern w:val="2"/>
          <w:sz w:val="32"/>
          <w:szCs w:val="32"/>
          <w:u w:val="single"/>
        </w:rPr>
        <w:tab/>
      </w:r>
      <w:r>
        <w:rPr>
          <w:rFonts w:ascii="Times New Roman" w:hAnsi="Times New Roman" w:eastAsia="仿宋_GB2312" w:cs="Times New Roman"/>
          <w:snapToGrid/>
          <w:kern w:val="2"/>
          <w:sz w:val="32"/>
          <w:szCs w:val="32"/>
          <w:u w:val="single"/>
        </w:rPr>
        <w:tab/>
      </w:r>
      <w:r>
        <w:rPr>
          <w:rFonts w:ascii="Times New Roman" w:hAnsi="Times New Roman" w:eastAsia="仿宋_GB2312" w:cs="Times New Roman"/>
          <w:snapToGrid/>
          <w:kern w:val="2"/>
          <w:sz w:val="32"/>
          <w:szCs w:val="32"/>
          <w:u w:val="single"/>
        </w:rPr>
        <w:tab/>
      </w:r>
      <w:r>
        <w:rPr>
          <w:rFonts w:ascii="Times New Roman" w:hAnsi="Times New Roman" w:eastAsia="仿宋_GB2312" w:cs="Times New Roman"/>
          <w:snapToGrid/>
          <w:kern w:val="2"/>
          <w:sz w:val="32"/>
          <w:szCs w:val="32"/>
          <w:u w:val="single"/>
        </w:rPr>
        <w:tab/>
      </w:r>
      <w:r>
        <w:rPr>
          <w:rFonts w:ascii="Times New Roman" w:hAnsi="Times New Roman" w:eastAsia="仿宋_GB2312" w:cs="Times New Roman"/>
          <w:snapToGrid/>
          <w:kern w:val="2"/>
          <w:sz w:val="32"/>
          <w:szCs w:val="32"/>
          <w:u w:val="single"/>
        </w:rPr>
        <w:t xml:space="preserve">  </w:t>
      </w:r>
    </w:p>
    <w:p>
      <w:pPr>
        <w:widowControl w:val="0"/>
        <w:kinsoku/>
        <w:autoSpaceDE/>
        <w:autoSpaceDN/>
        <w:adjustRightInd/>
        <w:snapToGrid/>
        <w:spacing w:line="360" w:lineRule="auto"/>
        <w:ind w:firstLine="1927" w:firstLineChars="600"/>
        <w:jc w:val="both"/>
        <w:textAlignment w:val="auto"/>
        <w:rPr>
          <w:rFonts w:ascii="Times New Roman" w:hAnsi="Times New Roman" w:eastAsia="仿宋_GB2312" w:cs="Times New Roman"/>
          <w:b/>
          <w:snapToGrid/>
          <w:kern w:val="2"/>
          <w:sz w:val="32"/>
          <w:szCs w:val="32"/>
        </w:rPr>
      </w:pPr>
    </w:p>
    <w:p>
      <w:pPr>
        <w:widowControl w:val="0"/>
        <w:kinsoku/>
        <w:autoSpaceDE/>
        <w:autoSpaceDN/>
        <w:adjustRightInd/>
        <w:snapToGrid/>
        <w:spacing w:line="360" w:lineRule="auto"/>
        <w:ind w:firstLine="960" w:firstLineChars="300"/>
        <w:jc w:val="both"/>
        <w:textAlignment w:val="auto"/>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第三方评价机构名称：</w:t>
      </w:r>
      <w:r>
        <w:rPr>
          <w:rFonts w:ascii="Times New Roman" w:hAnsi="Times New Roman" w:eastAsia="仿宋_GB2312" w:cs="Times New Roman"/>
          <w:snapToGrid/>
          <w:kern w:val="2"/>
          <w:sz w:val="32"/>
          <w:szCs w:val="32"/>
          <w:u w:val="single"/>
        </w:rPr>
        <w:t xml:space="preserve">                        </w:t>
      </w:r>
    </w:p>
    <w:p>
      <w:pPr>
        <w:widowControl w:val="0"/>
        <w:kinsoku/>
        <w:autoSpaceDE/>
        <w:autoSpaceDN/>
        <w:adjustRightInd/>
        <w:snapToGrid/>
        <w:jc w:val="both"/>
        <w:textAlignment w:val="auto"/>
        <w:rPr>
          <w:rFonts w:ascii="Times New Roman" w:hAnsi="Times New Roman" w:eastAsia="方正仿宋简体" w:cs="Times New Roman"/>
          <w:snapToGrid/>
          <w:kern w:val="2"/>
          <w:sz w:val="32"/>
          <w:szCs w:val="22"/>
        </w:rPr>
      </w:pPr>
    </w:p>
    <w:p>
      <w:pPr>
        <w:widowControl w:val="0"/>
        <w:kinsoku/>
        <w:autoSpaceDE/>
        <w:autoSpaceDN/>
        <w:adjustRightInd/>
        <w:snapToGrid/>
        <w:jc w:val="both"/>
        <w:textAlignment w:val="auto"/>
        <w:rPr>
          <w:rFonts w:ascii="Times New Roman" w:hAnsi="Times New Roman" w:eastAsia="方正仿宋简体" w:cs="Times New Roman"/>
          <w:snapToGrid/>
          <w:kern w:val="2"/>
          <w:sz w:val="32"/>
          <w:szCs w:val="22"/>
        </w:rPr>
      </w:pPr>
    </w:p>
    <w:p>
      <w:pPr>
        <w:widowControl w:val="0"/>
        <w:kinsoku/>
        <w:autoSpaceDE/>
        <w:autoSpaceDN/>
        <w:adjustRightInd/>
        <w:snapToGrid/>
        <w:jc w:val="both"/>
        <w:textAlignment w:val="auto"/>
        <w:rPr>
          <w:rFonts w:ascii="Times New Roman" w:hAnsi="Times New Roman" w:eastAsia="方正仿宋简体" w:cs="Times New Roman"/>
          <w:snapToGrid/>
          <w:kern w:val="2"/>
          <w:sz w:val="32"/>
          <w:szCs w:val="22"/>
        </w:rPr>
      </w:pPr>
    </w:p>
    <w:p>
      <w:pPr>
        <w:widowControl w:val="0"/>
        <w:kinsoku/>
        <w:autoSpaceDE/>
        <w:autoSpaceDN/>
        <w:adjustRightInd/>
        <w:snapToGrid/>
        <w:jc w:val="both"/>
        <w:textAlignment w:val="auto"/>
        <w:rPr>
          <w:rFonts w:ascii="Times New Roman" w:hAnsi="Times New Roman" w:eastAsia="方正仿宋简体" w:cs="Times New Roman"/>
          <w:snapToGrid/>
          <w:kern w:val="2"/>
          <w:sz w:val="32"/>
          <w:szCs w:val="22"/>
        </w:rPr>
      </w:pPr>
      <w:r>
        <w:rPr>
          <w:rFonts w:ascii="Times New Roman" w:hAnsi="Times New Roman" w:eastAsia="方正仿宋简体" w:cs="Times New Roman"/>
          <w:snapToGrid/>
          <w:kern w:val="2"/>
          <w:sz w:val="32"/>
          <w:szCs w:val="22"/>
        </w:rPr>
        <w:t xml:space="preserve">   </w:t>
      </w:r>
    </w:p>
    <w:p>
      <w:pPr>
        <w:widowControl w:val="0"/>
        <w:kinsoku/>
        <w:autoSpaceDE/>
        <w:autoSpaceDN/>
        <w:adjustRightInd/>
        <w:snapToGrid/>
        <w:ind w:firstLine="420" w:firstLineChars="150"/>
        <w:jc w:val="both"/>
        <w:textAlignment w:val="auto"/>
        <w:rPr>
          <w:rFonts w:ascii="Times New Roman" w:hAnsi="Times New Roman" w:eastAsia="方正仿宋简体" w:cs="Times New Roman"/>
          <w:snapToGrid/>
          <w:kern w:val="2"/>
          <w:sz w:val="28"/>
          <w:szCs w:val="22"/>
        </w:rPr>
      </w:pPr>
    </w:p>
    <w:p>
      <w:pPr>
        <w:widowControl w:val="0"/>
        <w:kinsoku/>
        <w:autoSpaceDE/>
        <w:autoSpaceDN/>
        <w:adjustRightInd/>
        <w:snapToGrid/>
        <w:spacing w:line="360" w:lineRule="auto"/>
        <w:jc w:val="center"/>
        <w:textAlignment w:val="auto"/>
        <w:rPr>
          <w:rFonts w:ascii="Times New Roman" w:hAnsi="Times New Roman" w:eastAsia="仿宋_GB2312" w:cs="Times New Roman"/>
          <w:snapToGrid/>
          <w:kern w:val="2"/>
          <w:sz w:val="30"/>
          <w:szCs w:val="22"/>
        </w:rPr>
      </w:pPr>
      <w:r>
        <w:rPr>
          <w:rFonts w:hint="eastAsia" w:ascii="Times New Roman" w:hAnsi="Times New Roman" w:eastAsia="仿宋_GB2312" w:cs="Times New Roman"/>
          <w:snapToGrid/>
          <w:kern w:val="2"/>
          <w:sz w:val="30"/>
          <w:szCs w:val="22"/>
        </w:rPr>
        <w:t>湖南省</w:t>
      </w:r>
      <w:r>
        <w:rPr>
          <w:rFonts w:ascii="Times New Roman" w:hAnsi="Times New Roman" w:eastAsia="仿宋_GB2312" w:cs="Times New Roman"/>
          <w:snapToGrid/>
          <w:kern w:val="2"/>
          <w:sz w:val="30"/>
          <w:szCs w:val="22"/>
        </w:rPr>
        <w:t>工业和信息化</w:t>
      </w:r>
      <w:r>
        <w:rPr>
          <w:rFonts w:hint="eastAsia" w:ascii="Times New Roman" w:hAnsi="Times New Roman" w:eastAsia="仿宋_GB2312" w:cs="Times New Roman"/>
          <w:snapToGrid/>
          <w:kern w:val="2"/>
          <w:sz w:val="30"/>
          <w:szCs w:val="22"/>
        </w:rPr>
        <w:t>厅</w:t>
      </w:r>
      <w:r>
        <w:rPr>
          <w:rFonts w:ascii="Times New Roman" w:hAnsi="Times New Roman" w:eastAsia="仿宋_GB2312" w:cs="Times New Roman"/>
          <w:snapToGrid/>
          <w:kern w:val="2"/>
          <w:sz w:val="30"/>
          <w:szCs w:val="22"/>
        </w:rPr>
        <w:t>制</w:t>
      </w:r>
    </w:p>
    <w:p>
      <w:pPr>
        <w:widowControl w:val="0"/>
        <w:kinsoku/>
        <w:autoSpaceDE/>
        <w:autoSpaceDN/>
        <w:adjustRightInd/>
        <w:snapToGrid/>
        <w:jc w:val="center"/>
        <w:textAlignment w:val="auto"/>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0"/>
          <w:szCs w:val="22"/>
        </w:rPr>
        <w:t>20  年    月    日</w:t>
      </w:r>
    </w:p>
    <w:p>
      <w:pPr>
        <w:widowControl w:val="0"/>
        <w:kinsoku/>
        <w:autoSpaceDE/>
        <w:autoSpaceDN/>
        <w:adjustRightInd/>
        <w:snapToGrid/>
        <w:spacing w:line="360" w:lineRule="auto"/>
        <w:jc w:val="center"/>
        <w:textAlignment w:val="auto"/>
        <w:rPr>
          <w:rFonts w:ascii="Times New Roman" w:hAnsi="Times New Roman" w:eastAsia="方正小标宋简体" w:cs="Times New Roman"/>
          <w:bCs/>
          <w:snapToGrid/>
          <w:kern w:val="2"/>
          <w:sz w:val="40"/>
          <w:szCs w:val="40"/>
        </w:rPr>
      </w:pPr>
      <w:r>
        <w:rPr>
          <w:rFonts w:ascii="Times New Roman" w:hAnsi="Times New Roman" w:eastAsia="黑体" w:cs="Times New Roman"/>
          <w:bCs/>
          <w:snapToGrid/>
          <w:kern w:val="2"/>
          <w:sz w:val="36"/>
          <w:szCs w:val="36"/>
        </w:rPr>
        <w:br w:type="page"/>
      </w:r>
      <w:r>
        <w:rPr>
          <w:rFonts w:ascii="Times New Roman" w:hAnsi="Times New Roman" w:eastAsia="方正小标宋简体" w:cs="Times New Roman"/>
          <w:bCs/>
          <w:snapToGrid/>
          <w:kern w:val="2"/>
          <w:sz w:val="40"/>
          <w:szCs w:val="40"/>
        </w:rPr>
        <w:t>基本信息表</w:t>
      </w:r>
    </w:p>
    <w:tbl>
      <w:tblPr>
        <w:tblStyle w:val="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4"/>
        <w:gridCol w:w="2489"/>
        <w:gridCol w:w="1867"/>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4"/>
            <w:noWrap w:val="0"/>
            <w:vAlign w:val="center"/>
          </w:tcPr>
          <w:p>
            <w:pPr>
              <w:kinsoku/>
              <w:autoSpaceDE/>
              <w:autoSpaceDN/>
              <w:adjustRightInd/>
              <w:snapToGrid/>
              <w:textAlignment w:val="auto"/>
              <w:rPr>
                <w:rFonts w:ascii="Times New Roman" w:hAnsi="Times New Roman" w:eastAsia="仿宋_GB2312" w:cs="Times New Roman"/>
                <w:b/>
                <w:snapToGrid/>
                <w:sz w:val="24"/>
                <w:szCs w:val="22"/>
              </w:rPr>
            </w:pPr>
            <w:r>
              <w:rPr>
                <w:rFonts w:ascii="Times New Roman" w:hAnsi="Times New Roman" w:eastAsia="仿宋_GB2312" w:cs="Times New Roman"/>
                <w:b/>
                <w:snapToGrid/>
                <w:sz w:val="24"/>
                <w:szCs w:val="22"/>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工厂名称</w:t>
            </w:r>
          </w:p>
        </w:tc>
        <w:tc>
          <w:tcPr>
            <w:tcW w:w="6287" w:type="dxa"/>
            <w:gridSpan w:val="3"/>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工厂地址</w:t>
            </w:r>
          </w:p>
        </w:tc>
        <w:tc>
          <w:tcPr>
            <w:tcW w:w="6287" w:type="dxa"/>
            <w:gridSpan w:val="3"/>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所属行业</w:t>
            </w:r>
          </w:p>
        </w:tc>
        <w:tc>
          <w:tcPr>
            <w:tcW w:w="2268"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p>
        </w:tc>
        <w:tc>
          <w:tcPr>
            <w:tcW w:w="1701"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主要产品</w:t>
            </w:r>
          </w:p>
        </w:tc>
        <w:tc>
          <w:tcPr>
            <w:tcW w:w="2318"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单位性质</w:t>
            </w:r>
          </w:p>
        </w:tc>
        <w:tc>
          <w:tcPr>
            <w:tcW w:w="6287" w:type="dxa"/>
            <w:gridSpan w:val="3"/>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工厂法定代表人</w:t>
            </w:r>
          </w:p>
        </w:tc>
        <w:tc>
          <w:tcPr>
            <w:tcW w:w="2268"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p>
        </w:tc>
        <w:tc>
          <w:tcPr>
            <w:tcW w:w="1701"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法人代表电话</w:t>
            </w:r>
          </w:p>
        </w:tc>
        <w:tc>
          <w:tcPr>
            <w:tcW w:w="2318"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工厂联系人</w:t>
            </w:r>
          </w:p>
        </w:tc>
        <w:tc>
          <w:tcPr>
            <w:tcW w:w="2268"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p>
        </w:tc>
        <w:tc>
          <w:tcPr>
            <w:tcW w:w="1701"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联系人电话</w:t>
            </w:r>
          </w:p>
        </w:tc>
        <w:tc>
          <w:tcPr>
            <w:tcW w:w="2318"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电子邮件</w:t>
            </w:r>
          </w:p>
        </w:tc>
        <w:tc>
          <w:tcPr>
            <w:tcW w:w="2268"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p>
        </w:tc>
        <w:tc>
          <w:tcPr>
            <w:tcW w:w="1701"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传真</w:t>
            </w:r>
          </w:p>
        </w:tc>
        <w:tc>
          <w:tcPr>
            <w:tcW w:w="2318"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4"/>
            <w:noWrap w:val="0"/>
            <w:vAlign w:val="center"/>
          </w:tcPr>
          <w:p>
            <w:pPr>
              <w:kinsoku/>
              <w:autoSpaceDE/>
              <w:autoSpaceDN/>
              <w:adjustRightInd/>
              <w:snapToGrid/>
              <w:textAlignment w:val="auto"/>
              <w:rPr>
                <w:rFonts w:ascii="Times New Roman" w:hAnsi="Times New Roman" w:eastAsia="仿宋_GB2312" w:cs="Times New Roman"/>
                <w:snapToGrid/>
                <w:sz w:val="24"/>
                <w:szCs w:val="22"/>
              </w:rPr>
            </w:pPr>
            <w:r>
              <w:rPr>
                <w:rFonts w:ascii="Times New Roman" w:hAnsi="Times New Roman" w:eastAsia="仿宋_GB2312" w:cs="Times New Roman"/>
                <w:b/>
                <w:snapToGrid/>
                <w:sz w:val="24"/>
                <w:szCs w:val="22"/>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第三方机构名称</w:t>
            </w:r>
          </w:p>
        </w:tc>
        <w:tc>
          <w:tcPr>
            <w:tcW w:w="6287" w:type="dxa"/>
            <w:gridSpan w:val="3"/>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第三方机构地址</w:t>
            </w:r>
          </w:p>
        </w:tc>
        <w:tc>
          <w:tcPr>
            <w:tcW w:w="6287" w:type="dxa"/>
            <w:gridSpan w:val="3"/>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机构法定代表人</w:t>
            </w:r>
          </w:p>
        </w:tc>
        <w:tc>
          <w:tcPr>
            <w:tcW w:w="2268"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p>
        </w:tc>
        <w:tc>
          <w:tcPr>
            <w:tcW w:w="1701"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法人代表电话</w:t>
            </w:r>
          </w:p>
        </w:tc>
        <w:tc>
          <w:tcPr>
            <w:tcW w:w="2318"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机构联系人</w:t>
            </w:r>
          </w:p>
        </w:tc>
        <w:tc>
          <w:tcPr>
            <w:tcW w:w="2268"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p>
        </w:tc>
        <w:tc>
          <w:tcPr>
            <w:tcW w:w="1701"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联系人电话</w:t>
            </w:r>
          </w:p>
        </w:tc>
        <w:tc>
          <w:tcPr>
            <w:tcW w:w="2318"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报告编制负责人</w:t>
            </w:r>
          </w:p>
        </w:tc>
        <w:tc>
          <w:tcPr>
            <w:tcW w:w="2268"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p>
        </w:tc>
        <w:tc>
          <w:tcPr>
            <w:tcW w:w="1701"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负责人电话</w:t>
            </w:r>
          </w:p>
        </w:tc>
        <w:tc>
          <w:tcPr>
            <w:tcW w:w="2318"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报告审核人</w:t>
            </w:r>
          </w:p>
        </w:tc>
        <w:tc>
          <w:tcPr>
            <w:tcW w:w="2268"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p>
        </w:tc>
        <w:tc>
          <w:tcPr>
            <w:tcW w:w="1701"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审核人电话</w:t>
            </w:r>
          </w:p>
        </w:tc>
        <w:tc>
          <w:tcPr>
            <w:tcW w:w="2318"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4"/>
            <w:noWrap w:val="0"/>
            <w:vAlign w:val="center"/>
          </w:tcPr>
          <w:p>
            <w:pPr>
              <w:kinsoku/>
              <w:autoSpaceDE/>
              <w:autoSpaceDN/>
              <w:adjustRightInd/>
              <w:snapToGrid/>
              <w:textAlignment w:val="auto"/>
              <w:rPr>
                <w:rFonts w:ascii="Times New Roman" w:hAnsi="Times New Roman" w:eastAsia="仿宋_GB2312" w:cs="Times New Roman"/>
                <w:snapToGrid/>
                <w:sz w:val="24"/>
                <w:szCs w:val="22"/>
              </w:rPr>
            </w:pPr>
            <w:r>
              <w:rPr>
                <w:rFonts w:ascii="Times New Roman" w:hAnsi="Times New Roman" w:eastAsia="仿宋_GB2312" w:cs="Times New Roman"/>
                <w:b/>
                <w:snapToGrid/>
                <w:sz w:val="24"/>
                <w:szCs w:val="22"/>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基本要求</w:t>
            </w:r>
          </w:p>
        </w:tc>
        <w:tc>
          <w:tcPr>
            <w:tcW w:w="2268"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□符合  □不符合</w:t>
            </w:r>
          </w:p>
        </w:tc>
        <w:tc>
          <w:tcPr>
            <w:tcW w:w="1701"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指标得分</w:t>
            </w:r>
          </w:p>
        </w:tc>
        <w:tc>
          <w:tcPr>
            <w:tcW w:w="2318" w:type="dxa"/>
            <w:noWrap w:val="0"/>
            <w:vAlign w:val="center"/>
          </w:tcPr>
          <w:p>
            <w:pPr>
              <w:kinsoku/>
              <w:autoSpaceDE/>
              <w:autoSpaceDN/>
              <w:adjustRightInd/>
              <w:snapToGrid/>
              <w:jc w:val="center"/>
              <w:textAlignment w:val="auto"/>
              <w:rPr>
                <w:rFonts w:ascii="Times New Roman" w:hAnsi="Times New Roman" w:eastAsia="仿宋_GB2312" w:cs="Times New Roman"/>
                <w:snapToGrid/>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4"/>
            <w:noWrap w:val="0"/>
            <w:vAlign w:val="center"/>
          </w:tcPr>
          <w:p>
            <w:pPr>
              <w:kinsoku/>
              <w:autoSpaceDE/>
              <w:autoSpaceDN/>
              <w:adjustRightInd/>
              <w:snapToGrid/>
              <w:spacing w:line="360" w:lineRule="auto"/>
              <w:ind w:firstLine="480" w:firstLineChars="200"/>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本机构承诺，已对申请单位材料进行了全面审核，材料真实有效，第三方评价程序规范完整，结论客观公正。评价报告若存在弄虚作假，本机构愿承担责任。</w:t>
            </w:r>
          </w:p>
          <w:p>
            <w:pPr>
              <w:kinsoku/>
              <w:wordWrap w:val="0"/>
              <w:autoSpaceDE/>
              <w:autoSpaceDN/>
              <w:adjustRightInd/>
              <w:snapToGrid/>
              <w:spacing w:line="360" w:lineRule="auto"/>
              <w:ind w:right="240"/>
              <w:jc w:val="right"/>
              <w:textAlignment w:val="auto"/>
              <w:rPr>
                <w:rFonts w:ascii="Times New Roman" w:hAnsi="Times New Roman" w:eastAsia="仿宋_GB2312" w:cs="Times New Roman"/>
                <w:b/>
                <w:snapToGrid/>
                <w:sz w:val="24"/>
                <w:szCs w:val="22"/>
              </w:rPr>
            </w:pPr>
          </w:p>
          <w:p>
            <w:pPr>
              <w:kinsoku/>
              <w:wordWrap w:val="0"/>
              <w:autoSpaceDE/>
              <w:autoSpaceDN/>
              <w:adjustRightInd/>
              <w:snapToGrid/>
              <w:spacing w:line="360" w:lineRule="auto"/>
              <w:ind w:right="240"/>
              <w:jc w:val="right"/>
              <w:textAlignment w:val="auto"/>
              <w:rPr>
                <w:rFonts w:ascii="Times New Roman" w:hAnsi="Times New Roman" w:eastAsia="仿宋_GB2312" w:cs="Times New Roman"/>
                <w:b/>
                <w:snapToGrid/>
                <w:sz w:val="24"/>
                <w:szCs w:val="22"/>
              </w:rPr>
            </w:pPr>
            <w:r>
              <w:rPr>
                <w:rFonts w:ascii="Times New Roman" w:hAnsi="Times New Roman" w:eastAsia="仿宋_GB2312" w:cs="Times New Roman"/>
                <w:b/>
                <w:snapToGrid/>
                <w:sz w:val="24"/>
                <w:szCs w:val="22"/>
              </w:rPr>
              <w:t xml:space="preserve">负责人签字：             </w:t>
            </w:r>
          </w:p>
          <w:p>
            <w:pPr>
              <w:kinsoku/>
              <w:wordWrap w:val="0"/>
              <w:autoSpaceDE/>
              <w:autoSpaceDN/>
              <w:adjustRightInd/>
              <w:snapToGrid/>
              <w:spacing w:line="360" w:lineRule="auto"/>
              <w:jc w:val="right"/>
              <w:textAlignment w:val="auto"/>
              <w:rPr>
                <w:rFonts w:ascii="Times New Roman" w:hAnsi="Times New Roman" w:eastAsia="仿宋_GB2312" w:cs="Times New Roman"/>
                <w:snapToGrid/>
                <w:sz w:val="24"/>
                <w:szCs w:val="22"/>
              </w:rPr>
            </w:pPr>
            <w:r>
              <w:rPr>
                <w:rFonts w:ascii="Times New Roman" w:hAnsi="Times New Roman" w:eastAsia="仿宋_GB2312" w:cs="Times New Roman"/>
                <w:b/>
                <w:snapToGrid/>
                <w:sz w:val="24"/>
                <w:szCs w:val="22"/>
              </w:rPr>
              <w:t>（单位公章）</w:t>
            </w:r>
            <w:r>
              <w:rPr>
                <w:rFonts w:ascii="Times New Roman" w:hAnsi="Times New Roman" w:eastAsia="仿宋_GB2312" w:cs="Times New Roman"/>
                <w:snapToGrid/>
                <w:sz w:val="24"/>
                <w:szCs w:val="22"/>
              </w:rPr>
              <w:t xml:space="preserve">               </w:t>
            </w:r>
          </w:p>
          <w:p>
            <w:pPr>
              <w:kinsoku/>
              <w:autoSpaceDE/>
              <w:autoSpaceDN/>
              <w:adjustRightInd/>
              <w:snapToGrid/>
              <w:jc w:val="center"/>
              <w:textAlignment w:val="auto"/>
              <w:rPr>
                <w:rFonts w:ascii="Times New Roman" w:hAnsi="Times New Roman" w:eastAsia="仿宋_GB2312" w:cs="Times New Roman"/>
                <w:snapToGrid/>
                <w:sz w:val="24"/>
                <w:szCs w:val="22"/>
              </w:rPr>
            </w:pPr>
          </w:p>
        </w:tc>
      </w:tr>
    </w:tbl>
    <w:p>
      <w:pPr>
        <w:widowControl w:val="0"/>
        <w:kinsoku/>
        <w:autoSpaceDE/>
        <w:autoSpaceDN/>
        <w:adjustRightInd/>
        <w:spacing w:line="560" w:lineRule="exact"/>
        <w:jc w:val="center"/>
        <w:textAlignment w:val="auto"/>
        <w:outlineLvl w:val="0"/>
        <w:rPr>
          <w:rFonts w:ascii="Times New Roman" w:hAnsi="Times New Roman" w:eastAsia="方正小标宋简体" w:cs="Times New Roman"/>
          <w:bCs/>
          <w:snapToGrid/>
          <w:kern w:val="2"/>
          <w:sz w:val="40"/>
          <w:szCs w:val="40"/>
        </w:rPr>
      </w:pPr>
      <w:r>
        <w:rPr>
          <w:rFonts w:ascii="Times New Roman" w:hAnsi="Times New Roman" w:eastAsia="黑体" w:cs="Times New Roman"/>
          <w:bCs/>
          <w:snapToGrid/>
          <w:kern w:val="2"/>
          <w:sz w:val="44"/>
          <w:szCs w:val="44"/>
        </w:rPr>
        <w:br w:type="page"/>
      </w:r>
      <w:r>
        <w:rPr>
          <w:rFonts w:ascii="Times New Roman" w:hAnsi="Times New Roman" w:eastAsia="方正小标宋简体" w:cs="Times New Roman"/>
          <w:bCs/>
          <w:snapToGrid/>
          <w:kern w:val="2"/>
          <w:sz w:val="40"/>
          <w:szCs w:val="40"/>
        </w:rPr>
        <w:t>绿色工厂评价报告</w:t>
      </w:r>
      <w:r>
        <w:rPr>
          <w:rFonts w:ascii="Times New Roman" w:hAnsi="Times New Roman" w:eastAsia="方正大标宋简体" w:cs="Times New Roman"/>
          <w:bCs/>
          <w:snapToGrid/>
          <w:kern w:val="2"/>
          <w:sz w:val="40"/>
          <w:szCs w:val="40"/>
        </w:rPr>
        <w:t>（</w:t>
      </w:r>
      <w:r>
        <w:rPr>
          <w:rFonts w:ascii="Times New Roman" w:hAnsi="Times New Roman" w:eastAsia="楷体" w:cs="Times New Roman"/>
          <w:bCs/>
          <w:snapToGrid/>
          <w:kern w:val="2"/>
          <w:sz w:val="40"/>
          <w:szCs w:val="40"/>
        </w:rPr>
        <w:t>格式</w:t>
      </w:r>
      <w:r>
        <w:rPr>
          <w:rFonts w:ascii="Times New Roman" w:hAnsi="Times New Roman" w:eastAsia="方正大标宋简体" w:cs="Times New Roman"/>
          <w:bCs/>
          <w:snapToGrid/>
          <w:kern w:val="2"/>
          <w:sz w:val="40"/>
          <w:szCs w:val="40"/>
        </w:rPr>
        <w:t>）</w:t>
      </w:r>
    </w:p>
    <w:p>
      <w:pPr>
        <w:widowControl w:val="0"/>
        <w:kinsoku/>
        <w:autoSpaceDE/>
        <w:autoSpaceDN/>
        <w:adjustRightInd/>
        <w:spacing w:line="560" w:lineRule="exact"/>
        <w:jc w:val="center"/>
        <w:textAlignment w:val="auto"/>
        <w:outlineLvl w:val="0"/>
        <w:rPr>
          <w:rFonts w:ascii="Times New Roman" w:hAnsi="Times New Roman" w:eastAsia="方正小标宋简体" w:cs="Times New Roman"/>
          <w:bCs/>
          <w:snapToGrid/>
          <w:kern w:val="2"/>
          <w:sz w:val="40"/>
          <w:szCs w:val="40"/>
        </w:rPr>
      </w:pPr>
    </w:p>
    <w:p>
      <w:pPr>
        <w:widowControl w:val="0"/>
        <w:kinsoku/>
        <w:autoSpaceDE/>
        <w:autoSpaceDN/>
        <w:adjustRightInd/>
        <w:snapToGrid/>
        <w:spacing w:line="600" w:lineRule="exact"/>
        <w:ind w:firstLine="640" w:firstLineChars="200"/>
        <w:jc w:val="both"/>
        <w:textAlignment w:val="auto"/>
        <w:rPr>
          <w:rFonts w:ascii="Times New Roman" w:hAnsi="Times New Roman" w:eastAsia="黑体" w:cs="Times New Roman"/>
          <w:bCs/>
          <w:snapToGrid/>
          <w:kern w:val="2"/>
          <w:sz w:val="32"/>
          <w:szCs w:val="32"/>
        </w:rPr>
      </w:pPr>
      <w:r>
        <w:rPr>
          <w:rFonts w:ascii="Times New Roman" w:hAnsi="Times New Roman" w:eastAsia="黑体" w:cs="Times New Roman"/>
          <w:bCs/>
          <w:snapToGrid/>
          <w:kern w:val="2"/>
          <w:sz w:val="32"/>
          <w:szCs w:val="32"/>
        </w:rPr>
        <w:t>一、概述</w:t>
      </w:r>
    </w:p>
    <w:p>
      <w:pPr>
        <w:widowControl w:val="0"/>
        <w:kinsoku/>
        <w:autoSpaceDE/>
        <w:autoSpaceDN/>
        <w:adjustRightInd/>
        <w:snapToGrid/>
        <w:spacing w:line="600" w:lineRule="exact"/>
        <w:ind w:firstLine="640" w:firstLineChars="200"/>
        <w:jc w:val="both"/>
        <w:textAlignment w:val="auto"/>
        <w:rPr>
          <w:rFonts w:ascii="Times New Roman" w:hAnsi="Times New Roman" w:eastAsia="仿宋" w:cs="Times New Roman"/>
          <w:snapToGrid/>
          <w:kern w:val="2"/>
          <w:sz w:val="32"/>
          <w:szCs w:val="32"/>
        </w:rPr>
      </w:pPr>
      <w:r>
        <w:rPr>
          <w:rFonts w:ascii="Times New Roman" w:hAnsi="Times New Roman" w:eastAsia="仿宋" w:cs="Times New Roman"/>
          <w:snapToGrid/>
          <w:kern w:val="2"/>
          <w:sz w:val="32"/>
          <w:szCs w:val="32"/>
        </w:rPr>
        <w:t>主要介绍绿色工厂评价的目的、范围及准则。</w:t>
      </w:r>
    </w:p>
    <w:p>
      <w:pPr>
        <w:widowControl w:val="0"/>
        <w:kinsoku/>
        <w:autoSpaceDE/>
        <w:autoSpaceDN/>
        <w:adjustRightInd/>
        <w:snapToGrid/>
        <w:spacing w:line="600" w:lineRule="exact"/>
        <w:ind w:firstLine="640" w:firstLineChars="200"/>
        <w:jc w:val="both"/>
        <w:textAlignment w:val="auto"/>
        <w:rPr>
          <w:rFonts w:ascii="Times New Roman" w:hAnsi="Times New Roman" w:eastAsia="黑体" w:cs="Times New Roman"/>
          <w:bCs/>
          <w:snapToGrid/>
          <w:kern w:val="2"/>
          <w:sz w:val="32"/>
          <w:szCs w:val="32"/>
        </w:rPr>
      </w:pPr>
      <w:r>
        <w:rPr>
          <w:rFonts w:ascii="Times New Roman" w:hAnsi="Times New Roman" w:eastAsia="黑体" w:cs="Times New Roman"/>
          <w:bCs/>
          <w:snapToGrid/>
          <w:kern w:val="2"/>
          <w:sz w:val="32"/>
          <w:szCs w:val="32"/>
        </w:rPr>
        <w:t>二、评价过程和方法</w:t>
      </w:r>
    </w:p>
    <w:p>
      <w:pPr>
        <w:widowControl w:val="0"/>
        <w:kinsoku/>
        <w:autoSpaceDE/>
        <w:autoSpaceDN/>
        <w:adjustRightInd/>
        <w:snapToGrid/>
        <w:spacing w:line="600" w:lineRule="exact"/>
        <w:ind w:firstLine="640" w:firstLineChars="200"/>
        <w:jc w:val="both"/>
        <w:textAlignment w:val="auto"/>
        <w:rPr>
          <w:rFonts w:ascii="Times New Roman" w:hAnsi="Times New Roman" w:eastAsia="仿宋" w:cs="Times New Roman"/>
          <w:snapToGrid/>
          <w:kern w:val="2"/>
          <w:sz w:val="32"/>
          <w:szCs w:val="32"/>
        </w:rPr>
      </w:pPr>
      <w:r>
        <w:rPr>
          <w:rFonts w:ascii="Times New Roman" w:hAnsi="Times New Roman" w:eastAsia="仿宋" w:cs="Times New Roman"/>
          <w:snapToGrid/>
          <w:kern w:val="2"/>
          <w:sz w:val="32"/>
          <w:szCs w:val="32"/>
        </w:rPr>
        <w:t>主要介绍评价组织安排、文件评审情况、现场评价情况、核查报告编写及内部技术复核情况。</w:t>
      </w:r>
    </w:p>
    <w:p>
      <w:pPr>
        <w:widowControl w:val="0"/>
        <w:kinsoku/>
        <w:autoSpaceDE/>
        <w:autoSpaceDN/>
        <w:adjustRightInd/>
        <w:snapToGrid/>
        <w:spacing w:line="600" w:lineRule="exact"/>
        <w:ind w:firstLine="640" w:firstLineChars="200"/>
        <w:jc w:val="both"/>
        <w:textAlignment w:val="auto"/>
        <w:rPr>
          <w:rFonts w:ascii="Times New Roman" w:hAnsi="Times New Roman" w:eastAsia="黑体" w:cs="Times New Roman"/>
          <w:bCs/>
          <w:snapToGrid/>
          <w:kern w:val="2"/>
          <w:sz w:val="32"/>
          <w:szCs w:val="32"/>
        </w:rPr>
      </w:pPr>
      <w:r>
        <w:rPr>
          <w:rFonts w:ascii="Times New Roman" w:hAnsi="Times New Roman" w:eastAsia="黑体" w:cs="Times New Roman"/>
          <w:bCs/>
          <w:snapToGrid/>
          <w:kern w:val="2"/>
          <w:sz w:val="32"/>
          <w:szCs w:val="32"/>
        </w:rPr>
        <w:t>三、评价内容</w:t>
      </w:r>
    </w:p>
    <w:p>
      <w:pPr>
        <w:widowControl w:val="0"/>
        <w:kinsoku/>
        <w:autoSpaceDE/>
        <w:autoSpaceDN/>
        <w:adjustRightInd/>
        <w:snapToGrid/>
        <w:spacing w:line="600" w:lineRule="exact"/>
        <w:ind w:firstLine="640" w:firstLineChars="200"/>
        <w:jc w:val="both"/>
        <w:textAlignment w:val="auto"/>
        <w:rPr>
          <w:rFonts w:ascii="Times New Roman" w:hAnsi="Times New Roman" w:eastAsia="仿宋" w:cs="Times New Roman"/>
          <w:snapToGrid/>
          <w:kern w:val="2"/>
          <w:sz w:val="32"/>
          <w:szCs w:val="32"/>
        </w:rPr>
      </w:pPr>
      <w:r>
        <w:rPr>
          <w:rFonts w:ascii="Times New Roman" w:hAnsi="Times New Roman" w:eastAsia="仿宋" w:cs="Times New Roman"/>
          <w:snapToGrid/>
          <w:kern w:val="2"/>
          <w:sz w:val="32"/>
          <w:szCs w:val="32"/>
        </w:rPr>
        <w:t>第三方应按以下内容对申报工厂材料进行评价：</w:t>
      </w:r>
    </w:p>
    <w:p>
      <w:pPr>
        <w:widowControl w:val="0"/>
        <w:kinsoku/>
        <w:autoSpaceDE/>
        <w:autoSpaceDN/>
        <w:adjustRightInd/>
        <w:snapToGrid/>
        <w:spacing w:line="600" w:lineRule="exact"/>
        <w:ind w:firstLine="640" w:firstLineChars="200"/>
        <w:jc w:val="both"/>
        <w:textAlignment w:val="auto"/>
        <w:rPr>
          <w:rFonts w:ascii="Times New Roman" w:hAnsi="Times New Roman" w:eastAsia="仿宋" w:cs="Times New Roman"/>
          <w:snapToGrid/>
          <w:kern w:val="2"/>
          <w:sz w:val="32"/>
          <w:szCs w:val="32"/>
        </w:rPr>
      </w:pPr>
      <w:r>
        <w:rPr>
          <w:rFonts w:ascii="Times New Roman" w:hAnsi="Times New Roman" w:eastAsia="仿宋" w:cs="Times New Roman"/>
          <w:snapToGrid/>
          <w:kern w:val="2"/>
          <w:sz w:val="32"/>
          <w:szCs w:val="32"/>
        </w:rPr>
        <w:t>1、对申报工厂的基础设施、管理体系、能源与资源投入、产品、环境排放、绩效等方面进行描述，并对工厂申报报告中的相关内容进行核实；</w:t>
      </w:r>
    </w:p>
    <w:p>
      <w:pPr>
        <w:widowControl w:val="0"/>
        <w:kinsoku/>
        <w:autoSpaceDE/>
        <w:autoSpaceDN/>
        <w:adjustRightInd/>
        <w:snapToGrid/>
        <w:spacing w:line="600" w:lineRule="exact"/>
        <w:ind w:firstLine="640" w:firstLineChars="200"/>
        <w:jc w:val="both"/>
        <w:textAlignment w:val="auto"/>
        <w:rPr>
          <w:rFonts w:ascii="Times New Roman" w:hAnsi="Times New Roman" w:eastAsia="仿宋" w:cs="Times New Roman"/>
          <w:snapToGrid/>
          <w:kern w:val="2"/>
          <w:sz w:val="32"/>
          <w:szCs w:val="32"/>
        </w:rPr>
      </w:pPr>
      <w:r>
        <w:rPr>
          <w:rFonts w:ascii="Times New Roman" w:hAnsi="Times New Roman" w:eastAsia="仿宋" w:cs="Times New Roman"/>
          <w:snapToGrid/>
          <w:kern w:val="2"/>
          <w:sz w:val="32"/>
          <w:szCs w:val="32"/>
        </w:rPr>
        <w:t>2、依据《绿色工厂评价要求》，核实数据真实性、计算范围及计算方法，检查相关计量设备和有关标准的落实等情况；</w:t>
      </w:r>
    </w:p>
    <w:p>
      <w:pPr>
        <w:widowControl w:val="0"/>
        <w:kinsoku/>
        <w:autoSpaceDE/>
        <w:autoSpaceDN/>
        <w:adjustRightInd/>
        <w:snapToGrid/>
        <w:spacing w:line="600" w:lineRule="exact"/>
        <w:ind w:firstLine="640" w:firstLineChars="200"/>
        <w:jc w:val="both"/>
        <w:textAlignment w:val="auto"/>
        <w:rPr>
          <w:rFonts w:ascii="Times New Roman" w:hAnsi="Times New Roman" w:eastAsia="仿宋" w:cs="Times New Roman"/>
          <w:snapToGrid/>
          <w:kern w:val="2"/>
          <w:sz w:val="32"/>
          <w:szCs w:val="32"/>
        </w:rPr>
      </w:pPr>
      <w:r>
        <w:rPr>
          <w:rFonts w:ascii="Times New Roman" w:hAnsi="Times New Roman" w:eastAsia="仿宋" w:cs="Times New Roman"/>
          <w:snapToGrid/>
          <w:kern w:val="2"/>
          <w:sz w:val="32"/>
          <w:szCs w:val="32"/>
        </w:rPr>
        <w:t>3、对企业自评所出现的问题情况进行描述。</w:t>
      </w:r>
    </w:p>
    <w:p>
      <w:pPr>
        <w:widowControl w:val="0"/>
        <w:kinsoku/>
        <w:autoSpaceDE/>
        <w:autoSpaceDN/>
        <w:adjustRightInd/>
        <w:snapToGrid/>
        <w:spacing w:line="600" w:lineRule="exact"/>
        <w:ind w:firstLine="640" w:firstLineChars="200"/>
        <w:jc w:val="both"/>
        <w:textAlignment w:val="auto"/>
        <w:rPr>
          <w:rFonts w:ascii="Times New Roman" w:hAnsi="Times New Roman" w:eastAsia="黑体" w:cs="Times New Roman"/>
          <w:bCs/>
          <w:snapToGrid/>
          <w:kern w:val="2"/>
          <w:sz w:val="32"/>
          <w:szCs w:val="32"/>
        </w:rPr>
      </w:pPr>
      <w:r>
        <w:rPr>
          <w:rFonts w:ascii="Times New Roman" w:hAnsi="Times New Roman" w:eastAsia="黑体" w:cs="Times New Roman"/>
          <w:bCs/>
          <w:snapToGrid/>
          <w:kern w:val="2"/>
          <w:sz w:val="32"/>
          <w:szCs w:val="32"/>
        </w:rPr>
        <w:t>四、评价结论</w:t>
      </w:r>
    </w:p>
    <w:p>
      <w:pPr>
        <w:widowControl w:val="0"/>
        <w:kinsoku/>
        <w:autoSpaceDE/>
        <w:autoSpaceDN/>
        <w:adjustRightInd/>
        <w:snapToGrid/>
        <w:spacing w:line="600" w:lineRule="exact"/>
        <w:ind w:firstLine="640" w:firstLineChars="200"/>
        <w:jc w:val="both"/>
        <w:textAlignment w:val="auto"/>
        <w:rPr>
          <w:rFonts w:ascii="Times New Roman" w:hAnsi="Times New Roman" w:eastAsia="仿宋" w:cs="Times New Roman"/>
          <w:snapToGrid/>
          <w:kern w:val="2"/>
          <w:sz w:val="32"/>
          <w:szCs w:val="32"/>
        </w:rPr>
      </w:pPr>
      <w:r>
        <w:rPr>
          <w:rFonts w:ascii="Times New Roman" w:hAnsi="Times New Roman" w:eastAsia="仿宋" w:cs="Times New Roman"/>
          <w:snapToGrid/>
          <w:kern w:val="2"/>
          <w:sz w:val="32"/>
          <w:szCs w:val="32"/>
        </w:rPr>
        <w:t>对申报工厂是否符合绿色工厂要求进行评价，说明各评价指标值及是否符合评价要求情况，描述主要创建做法及工作亮点等。</w:t>
      </w:r>
    </w:p>
    <w:p>
      <w:pPr>
        <w:widowControl w:val="0"/>
        <w:kinsoku/>
        <w:autoSpaceDE/>
        <w:autoSpaceDN/>
        <w:adjustRightInd/>
        <w:snapToGrid/>
        <w:spacing w:line="600" w:lineRule="exact"/>
        <w:ind w:firstLine="640" w:firstLineChars="200"/>
        <w:jc w:val="both"/>
        <w:textAlignment w:val="auto"/>
        <w:rPr>
          <w:rFonts w:ascii="Times New Roman" w:hAnsi="Times New Roman" w:eastAsia="黑体" w:cs="Times New Roman"/>
          <w:bCs/>
          <w:snapToGrid/>
          <w:kern w:val="2"/>
          <w:sz w:val="32"/>
          <w:szCs w:val="32"/>
        </w:rPr>
      </w:pPr>
      <w:r>
        <w:rPr>
          <w:rFonts w:ascii="Times New Roman" w:hAnsi="Times New Roman" w:eastAsia="黑体" w:cs="Times New Roman"/>
          <w:bCs/>
          <w:snapToGrid/>
          <w:kern w:val="2"/>
          <w:sz w:val="32"/>
          <w:szCs w:val="32"/>
        </w:rPr>
        <w:t>五、建议</w:t>
      </w:r>
    </w:p>
    <w:p>
      <w:pPr>
        <w:widowControl w:val="0"/>
        <w:kinsoku/>
        <w:autoSpaceDE/>
        <w:autoSpaceDN/>
        <w:adjustRightInd/>
        <w:snapToGrid/>
        <w:spacing w:line="600" w:lineRule="exact"/>
        <w:ind w:firstLine="640" w:firstLineChars="200"/>
        <w:jc w:val="both"/>
        <w:textAlignment w:val="auto"/>
        <w:rPr>
          <w:rFonts w:ascii="Times New Roman" w:hAnsi="Times New Roman" w:eastAsia="仿宋_GB2312" w:cs="Times New Roman"/>
          <w:snapToGrid/>
          <w:kern w:val="2"/>
          <w:sz w:val="32"/>
          <w:szCs w:val="32"/>
        </w:rPr>
      </w:pPr>
      <w:r>
        <w:rPr>
          <w:rFonts w:ascii="Times New Roman" w:hAnsi="Times New Roman" w:eastAsia="仿宋" w:cs="Times New Roman"/>
          <w:snapToGrid/>
          <w:kern w:val="2"/>
          <w:sz w:val="32"/>
          <w:szCs w:val="32"/>
        </w:rPr>
        <w:t>对工厂持续创建绿色工厂的下一步工作提出建议</w:t>
      </w:r>
      <w:r>
        <w:rPr>
          <w:rFonts w:ascii="Times New Roman" w:hAnsi="Times New Roman" w:eastAsia="仿宋_GB2312" w:cs="Times New Roman"/>
          <w:snapToGrid/>
          <w:kern w:val="2"/>
          <w:sz w:val="32"/>
          <w:szCs w:val="32"/>
        </w:rPr>
        <w:t>。</w:t>
      </w:r>
    </w:p>
    <w:p>
      <w:pPr>
        <w:widowControl w:val="0"/>
        <w:kinsoku/>
        <w:autoSpaceDE/>
        <w:autoSpaceDN/>
        <w:adjustRightInd/>
        <w:snapToGrid/>
        <w:spacing w:line="600" w:lineRule="exact"/>
        <w:ind w:firstLine="640" w:firstLineChars="200"/>
        <w:jc w:val="both"/>
        <w:textAlignment w:val="auto"/>
        <w:rPr>
          <w:rFonts w:ascii="Times New Roman" w:hAnsi="Times New Roman" w:eastAsia="黑体" w:cs="Times New Roman"/>
          <w:bCs/>
          <w:snapToGrid/>
          <w:kern w:val="2"/>
          <w:sz w:val="32"/>
          <w:szCs w:val="32"/>
        </w:rPr>
      </w:pPr>
      <w:r>
        <w:rPr>
          <w:rFonts w:ascii="Times New Roman" w:hAnsi="Times New Roman" w:eastAsia="黑体" w:cs="Times New Roman"/>
          <w:bCs/>
          <w:snapToGrid/>
          <w:kern w:val="2"/>
          <w:sz w:val="32"/>
          <w:szCs w:val="32"/>
        </w:rPr>
        <w:t>六、参考文件</w:t>
      </w:r>
    </w:p>
    <w:p>
      <w:pPr>
        <w:widowControl w:val="0"/>
        <w:kinsoku/>
        <w:autoSpaceDE/>
        <w:autoSpaceDN/>
        <w:adjustRightInd/>
        <w:snapToGrid/>
        <w:spacing w:line="600" w:lineRule="exact"/>
        <w:ind w:firstLine="640" w:firstLineChars="200"/>
        <w:jc w:val="both"/>
        <w:textAlignment w:val="auto"/>
        <w:rPr>
          <w:rFonts w:ascii="Times New Roman" w:hAnsi="Times New Roman" w:eastAsia="仿宋" w:cs="Times New Roman"/>
          <w:snapToGrid/>
          <w:kern w:val="2"/>
          <w:sz w:val="32"/>
          <w:szCs w:val="32"/>
        </w:rPr>
      </w:pPr>
      <w:r>
        <w:rPr>
          <w:rFonts w:ascii="Times New Roman" w:hAnsi="Times New Roman" w:eastAsia="仿宋" w:cs="Times New Roman"/>
          <w:snapToGrid/>
          <w:kern w:val="2"/>
          <w:sz w:val="32"/>
          <w:szCs w:val="32"/>
        </w:rPr>
        <w:t>列出报告编写过程中所使用的相关参考文件（与附表2.1及附表2.2的证明材料索引一栏对应）。</w:t>
      </w:r>
    </w:p>
    <w:p>
      <w:pPr>
        <w:widowControl w:val="0"/>
        <w:kinsoku/>
        <w:autoSpaceDE/>
        <w:autoSpaceDN/>
        <w:adjustRightInd/>
        <w:snapToGrid/>
        <w:spacing w:line="600" w:lineRule="exact"/>
        <w:ind w:firstLine="640" w:firstLineChars="200"/>
        <w:jc w:val="both"/>
        <w:textAlignment w:val="auto"/>
        <w:rPr>
          <w:rFonts w:ascii="Times New Roman" w:hAnsi="Times New Roman" w:eastAsia="黑体" w:cs="Times New Roman"/>
          <w:bCs/>
          <w:snapToGrid/>
          <w:kern w:val="2"/>
          <w:sz w:val="32"/>
          <w:szCs w:val="32"/>
        </w:rPr>
      </w:pPr>
      <w:r>
        <w:rPr>
          <w:rFonts w:ascii="Times New Roman" w:hAnsi="Times New Roman" w:eastAsia="黑体" w:cs="Times New Roman"/>
          <w:bCs/>
          <w:snapToGrid/>
          <w:kern w:val="2"/>
          <w:sz w:val="32"/>
          <w:szCs w:val="32"/>
        </w:rPr>
        <w:t>七、第三方机构资质符合性证明材料</w:t>
      </w:r>
    </w:p>
    <w:p>
      <w:pPr>
        <w:widowControl w:val="0"/>
        <w:kinsoku/>
        <w:autoSpaceDE/>
        <w:autoSpaceDN/>
        <w:adjustRightInd/>
        <w:snapToGrid/>
        <w:spacing w:line="600" w:lineRule="exact"/>
        <w:ind w:firstLine="640" w:firstLineChars="200"/>
        <w:jc w:val="both"/>
        <w:textAlignment w:val="auto"/>
        <w:rPr>
          <w:rFonts w:ascii="Times New Roman" w:hAnsi="Times New Roman" w:eastAsia="仿宋" w:cs="Times New Roman"/>
          <w:snapToGrid/>
          <w:kern w:val="2"/>
          <w:sz w:val="32"/>
          <w:szCs w:val="32"/>
        </w:rPr>
      </w:pPr>
      <w:r>
        <w:rPr>
          <w:rFonts w:ascii="Times New Roman" w:hAnsi="Times New Roman" w:eastAsia="仿宋" w:cs="Times New Roman"/>
          <w:snapToGrid/>
          <w:kern w:val="2"/>
          <w:sz w:val="32"/>
          <w:szCs w:val="32"/>
        </w:rPr>
        <w:t>列出第三方机构满足条件的资质符合性证明材料。</w:t>
      </w:r>
    </w:p>
    <w:p>
      <w:pPr>
        <w:rPr>
          <w:rFonts w:ascii="Times New Roman" w:hAnsi="Times New Roman" w:eastAsia="仿宋" w:cs="Times New Roman"/>
          <w:sz w:val="32"/>
          <w:szCs w:val="32"/>
        </w:rPr>
        <w:sectPr>
          <w:pgSz w:w="11906" w:h="16838"/>
          <w:pgMar w:top="2098" w:right="1247" w:bottom="1417" w:left="1587" w:header="1361" w:footer="992" w:gutter="0"/>
          <w:pgNumType w:fmt="numberInDash"/>
          <w:cols w:space="720" w:num="1"/>
          <w:docGrid w:type="lines" w:linePitch="312" w:charSpace="0"/>
        </w:sectPr>
      </w:pPr>
    </w:p>
    <w:p>
      <w:pPr>
        <w:widowControl w:val="0"/>
        <w:kinsoku/>
        <w:autoSpaceDE/>
        <w:autoSpaceDN/>
        <w:adjustRightInd/>
        <w:snapToGrid/>
        <w:jc w:val="both"/>
        <w:textAlignment w:val="auto"/>
        <w:rPr>
          <w:rFonts w:ascii="Times New Roman" w:hAnsi="Times New Roman" w:eastAsia="黑体" w:cs="Times New Roman"/>
          <w:snapToGrid/>
          <w:kern w:val="2"/>
          <w:sz w:val="32"/>
          <w:szCs w:val="32"/>
        </w:rPr>
      </w:pPr>
      <w:r>
        <w:rPr>
          <w:rFonts w:ascii="Times New Roman" w:hAnsi="Times New Roman" w:eastAsia="黑体" w:cs="Times New Roman"/>
          <w:snapToGrid/>
          <w:kern w:val="2"/>
          <w:sz w:val="32"/>
          <w:szCs w:val="32"/>
        </w:rPr>
        <w:t>附表2.1</w:t>
      </w:r>
    </w:p>
    <w:p>
      <w:pPr>
        <w:kinsoku/>
        <w:autoSpaceDE/>
        <w:autoSpaceDN/>
        <w:adjustRightInd/>
        <w:snapToGrid/>
        <w:jc w:val="center"/>
        <w:textAlignment w:val="auto"/>
        <w:rPr>
          <w:rFonts w:ascii="Times New Roman" w:hAnsi="Times New Roman" w:eastAsia="方正小标宋简体" w:cs="Times New Roman"/>
          <w:bCs/>
          <w:snapToGrid/>
          <w:kern w:val="2"/>
          <w:sz w:val="40"/>
          <w:szCs w:val="40"/>
        </w:rPr>
      </w:pPr>
      <w:r>
        <w:rPr>
          <w:rFonts w:ascii="Times New Roman" w:hAnsi="Times New Roman" w:eastAsia="方正小标宋简体" w:cs="Times New Roman"/>
          <w:bCs/>
          <w:snapToGrid/>
          <w:kern w:val="2"/>
          <w:sz w:val="40"/>
          <w:szCs w:val="40"/>
        </w:rPr>
        <w:t>绿色工厂基本要求第三方评价表</w:t>
      </w:r>
    </w:p>
    <w:p>
      <w:pPr>
        <w:widowControl w:val="0"/>
        <w:kinsoku/>
        <w:snapToGrid/>
        <w:jc w:val="center"/>
        <w:textAlignment w:val="auto"/>
        <w:rPr>
          <w:rFonts w:ascii="Times New Roman" w:hAnsi="Times New Roman" w:eastAsia="仿宋" w:cs="Times New Roman"/>
          <w:b/>
          <w:snapToGrid/>
          <w:sz w:val="32"/>
          <w:szCs w:val="32"/>
        </w:rPr>
      </w:pPr>
      <w:r>
        <w:rPr>
          <w:rFonts w:ascii="Times New Roman" w:hAnsi="Times New Roman" w:eastAsia="仿宋" w:cs="Times New Roman"/>
          <w:b/>
          <w:snapToGrid/>
          <w:sz w:val="32"/>
          <w:szCs w:val="32"/>
        </w:rPr>
        <w:t>（20  年）</w:t>
      </w:r>
    </w:p>
    <w:tbl>
      <w:tblPr>
        <w:tblStyle w:val="3"/>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860"/>
        <w:gridCol w:w="7123"/>
        <w:gridCol w:w="1482"/>
        <w:gridCol w:w="4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8435" w:type="dxa"/>
            <w:gridSpan w:val="2"/>
            <w:noWrap w:val="0"/>
            <w:vAlign w:val="center"/>
          </w:tcPr>
          <w:p>
            <w:pPr>
              <w:widowControl w:val="0"/>
              <w:kinsoku/>
              <w:autoSpaceDE/>
              <w:autoSpaceDN/>
              <w:adjustRightInd/>
              <w:snapToGrid/>
              <w:jc w:val="center"/>
              <w:textAlignment w:val="auto"/>
              <w:rPr>
                <w:rFonts w:hint="eastAsia" w:ascii="黑体" w:hAnsi="黑体" w:eastAsia="黑体" w:cs="黑体"/>
                <w:snapToGrid/>
                <w:kern w:val="2"/>
                <w:sz w:val="24"/>
                <w:szCs w:val="24"/>
              </w:rPr>
            </w:pPr>
            <w:r>
              <w:rPr>
                <w:rFonts w:hint="eastAsia" w:ascii="黑体" w:hAnsi="黑体" w:eastAsia="黑体" w:cs="黑体"/>
                <w:snapToGrid/>
                <w:kern w:val="2"/>
                <w:sz w:val="24"/>
                <w:szCs w:val="24"/>
              </w:rPr>
              <w:t>基本要求</w:t>
            </w:r>
          </w:p>
        </w:tc>
        <w:tc>
          <w:tcPr>
            <w:tcW w:w="1392" w:type="dxa"/>
            <w:noWrap w:val="0"/>
            <w:vAlign w:val="center"/>
          </w:tcPr>
          <w:p>
            <w:pPr>
              <w:widowControl w:val="0"/>
              <w:kinsoku/>
              <w:autoSpaceDE/>
              <w:autoSpaceDN/>
              <w:adjustRightInd/>
              <w:snapToGrid/>
              <w:jc w:val="center"/>
              <w:textAlignment w:val="auto"/>
              <w:rPr>
                <w:rFonts w:hint="eastAsia" w:ascii="黑体" w:hAnsi="黑体" w:eastAsia="黑体" w:cs="黑体"/>
                <w:snapToGrid/>
                <w:kern w:val="2"/>
                <w:sz w:val="24"/>
                <w:szCs w:val="24"/>
              </w:rPr>
            </w:pPr>
            <w:r>
              <w:rPr>
                <w:rFonts w:hint="eastAsia" w:ascii="黑体" w:hAnsi="黑体" w:eastAsia="黑体" w:cs="黑体"/>
                <w:snapToGrid/>
                <w:kern w:val="2"/>
                <w:sz w:val="24"/>
                <w:szCs w:val="24"/>
              </w:rPr>
              <w:t>是否符合</w:t>
            </w:r>
          </w:p>
        </w:tc>
        <w:tc>
          <w:tcPr>
            <w:tcW w:w="4281" w:type="dxa"/>
            <w:noWrap w:val="0"/>
            <w:vAlign w:val="center"/>
          </w:tcPr>
          <w:p>
            <w:pPr>
              <w:widowControl w:val="0"/>
              <w:kinsoku/>
              <w:autoSpaceDE/>
              <w:autoSpaceDN/>
              <w:adjustRightInd/>
              <w:snapToGrid/>
              <w:jc w:val="center"/>
              <w:textAlignment w:val="auto"/>
              <w:rPr>
                <w:rFonts w:hint="eastAsia" w:ascii="黑体" w:hAnsi="黑体" w:eastAsia="黑体" w:cs="黑体"/>
                <w:snapToGrid/>
                <w:kern w:val="2"/>
                <w:sz w:val="24"/>
                <w:szCs w:val="24"/>
              </w:rPr>
            </w:pPr>
            <w:r>
              <w:rPr>
                <w:rFonts w:hint="eastAsia" w:ascii="黑体" w:hAnsi="黑体" w:eastAsia="黑体" w:cs="黑体"/>
                <w:snapToGrid/>
                <w:kern w:val="2"/>
                <w:sz w:val="24"/>
                <w:szCs w:val="24"/>
              </w:rPr>
              <w:t>符合性说明及证明材料索引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jc w:val="center"/>
        </w:trPr>
        <w:tc>
          <w:tcPr>
            <w:tcW w:w="1746" w:type="dxa"/>
            <w:vMerge w:val="restart"/>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基础合规性与相关方要求</w:t>
            </w:r>
          </w:p>
        </w:tc>
        <w:tc>
          <w:tcPr>
            <w:tcW w:w="6689" w:type="dxa"/>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绿色工厂应依法设立，在建设和生产过程中应遵守有关法律、法规、政策和标准。</w:t>
            </w:r>
          </w:p>
        </w:tc>
        <w:tc>
          <w:tcPr>
            <w:tcW w:w="1392" w:type="dxa"/>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p>
        </w:tc>
        <w:tc>
          <w:tcPr>
            <w:tcW w:w="4281" w:type="dxa"/>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jc w:val="center"/>
        </w:trPr>
        <w:tc>
          <w:tcPr>
            <w:tcW w:w="1746" w:type="dxa"/>
            <w:vMerge w:val="continue"/>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p>
        </w:tc>
        <w:tc>
          <w:tcPr>
            <w:tcW w:w="6689" w:type="dxa"/>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无较大及以上安全、环保、质量等事故。</w:t>
            </w:r>
          </w:p>
        </w:tc>
        <w:tc>
          <w:tcPr>
            <w:tcW w:w="1392" w:type="dxa"/>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p>
        </w:tc>
        <w:tc>
          <w:tcPr>
            <w:tcW w:w="4281" w:type="dxa"/>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jc w:val="center"/>
        </w:trPr>
        <w:tc>
          <w:tcPr>
            <w:tcW w:w="1746" w:type="dxa"/>
            <w:vMerge w:val="continue"/>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p>
        </w:tc>
        <w:tc>
          <w:tcPr>
            <w:tcW w:w="6689" w:type="dxa"/>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对利益相关方的环境要求做出承诺的，应同时满足有关承诺的要求。</w:t>
            </w:r>
          </w:p>
        </w:tc>
        <w:tc>
          <w:tcPr>
            <w:tcW w:w="1392" w:type="dxa"/>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p>
        </w:tc>
        <w:tc>
          <w:tcPr>
            <w:tcW w:w="4281" w:type="dxa"/>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jc w:val="center"/>
        </w:trPr>
        <w:tc>
          <w:tcPr>
            <w:tcW w:w="1746" w:type="dxa"/>
            <w:vMerge w:val="restart"/>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基础管理职责——最高管理者</w:t>
            </w:r>
          </w:p>
        </w:tc>
        <w:tc>
          <w:tcPr>
            <w:tcW w:w="6689" w:type="dxa"/>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最高管理者在绿色工厂方面的领导作用和承诺满足GB/T 36132 中4.3.1 a</w:t>
            </w:r>
            <w:r>
              <w:rPr>
                <w:rFonts w:hint="eastAsia" w:ascii="Times New Roman" w:hAnsi="Times New Roman" w:eastAsia="仿宋_GB2312" w:cs="Times New Roman"/>
                <w:snapToGrid/>
                <w:kern w:val="2"/>
                <w:sz w:val="24"/>
                <w:szCs w:val="24"/>
              </w:rPr>
              <w:t>）</w:t>
            </w:r>
            <w:r>
              <w:rPr>
                <w:rFonts w:ascii="Times New Roman" w:hAnsi="Times New Roman" w:eastAsia="仿宋_GB2312" w:cs="Times New Roman"/>
                <w:snapToGrid/>
                <w:kern w:val="2"/>
                <w:sz w:val="24"/>
                <w:szCs w:val="24"/>
              </w:rPr>
              <w:t>的要求。</w:t>
            </w:r>
          </w:p>
        </w:tc>
        <w:tc>
          <w:tcPr>
            <w:tcW w:w="1392" w:type="dxa"/>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p>
        </w:tc>
        <w:tc>
          <w:tcPr>
            <w:tcW w:w="4281" w:type="dxa"/>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jc w:val="center"/>
        </w:trPr>
        <w:tc>
          <w:tcPr>
            <w:tcW w:w="1746" w:type="dxa"/>
            <w:vMerge w:val="continue"/>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p>
        </w:tc>
        <w:tc>
          <w:tcPr>
            <w:tcW w:w="6689" w:type="dxa"/>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最高管理者确保在工厂内部分配并沟通与绿色工厂相关角色的职责和权限，且满足GB/T 36132 中4.3.1 b</w:t>
            </w:r>
            <w:r>
              <w:rPr>
                <w:rFonts w:hint="eastAsia" w:ascii="Times New Roman" w:hAnsi="Times New Roman" w:eastAsia="仿宋_GB2312" w:cs="Times New Roman"/>
                <w:snapToGrid/>
                <w:kern w:val="2"/>
                <w:sz w:val="24"/>
                <w:szCs w:val="24"/>
              </w:rPr>
              <w:t>）</w:t>
            </w:r>
            <w:r>
              <w:rPr>
                <w:rFonts w:ascii="Times New Roman" w:hAnsi="Times New Roman" w:eastAsia="仿宋_GB2312" w:cs="Times New Roman"/>
                <w:snapToGrid/>
                <w:kern w:val="2"/>
                <w:sz w:val="24"/>
                <w:szCs w:val="24"/>
              </w:rPr>
              <w:t>的要求。</w:t>
            </w:r>
          </w:p>
        </w:tc>
        <w:tc>
          <w:tcPr>
            <w:tcW w:w="1392" w:type="dxa"/>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p>
        </w:tc>
        <w:tc>
          <w:tcPr>
            <w:tcW w:w="4281" w:type="dxa"/>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jc w:val="center"/>
        </w:trPr>
        <w:tc>
          <w:tcPr>
            <w:tcW w:w="1746" w:type="dxa"/>
            <w:vMerge w:val="restart"/>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基础管理职责——工厂</w:t>
            </w:r>
          </w:p>
        </w:tc>
        <w:tc>
          <w:tcPr>
            <w:tcW w:w="6689" w:type="dxa"/>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应设有绿色工厂管理机构，负责有关绿色工厂的制度建设、实施、考核及奖励工作，建立目标责任制。</w:t>
            </w:r>
          </w:p>
        </w:tc>
        <w:tc>
          <w:tcPr>
            <w:tcW w:w="1392" w:type="dxa"/>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p>
        </w:tc>
        <w:tc>
          <w:tcPr>
            <w:tcW w:w="4281" w:type="dxa"/>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jc w:val="center"/>
        </w:trPr>
        <w:tc>
          <w:tcPr>
            <w:tcW w:w="1746" w:type="dxa"/>
            <w:vMerge w:val="continue"/>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p>
        </w:tc>
        <w:tc>
          <w:tcPr>
            <w:tcW w:w="6689" w:type="dxa"/>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应有开展绿色工厂的中长期规划及年度目标、指标和实施方案。可行时，指标应明确且可量化。</w:t>
            </w:r>
          </w:p>
        </w:tc>
        <w:tc>
          <w:tcPr>
            <w:tcW w:w="1392" w:type="dxa"/>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p>
        </w:tc>
        <w:tc>
          <w:tcPr>
            <w:tcW w:w="4281" w:type="dxa"/>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jc w:val="center"/>
        </w:trPr>
        <w:tc>
          <w:tcPr>
            <w:tcW w:w="1746" w:type="dxa"/>
            <w:vMerge w:val="continue"/>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p>
        </w:tc>
        <w:tc>
          <w:tcPr>
            <w:tcW w:w="6689" w:type="dxa"/>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应传播绿色制造的概念和知识，定期为员工提供绿色制造相关知识的教育、培训，并对教育和培训的结果进行考评。</w:t>
            </w:r>
          </w:p>
        </w:tc>
        <w:tc>
          <w:tcPr>
            <w:tcW w:w="1392" w:type="dxa"/>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p>
        </w:tc>
        <w:tc>
          <w:tcPr>
            <w:tcW w:w="4281" w:type="dxa"/>
            <w:noWrap w:val="0"/>
            <w:vAlign w:val="center"/>
          </w:tcPr>
          <w:p>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bl>
    <w:p>
      <w:pPr>
        <w:widowControl w:val="0"/>
        <w:kinsoku/>
        <w:autoSpaceDE/>
        <w:autoSpaceDN/>
        <w:adjustRightInd/>
        <w:snapToGrid/>
        <w:spacing w:line="560" w:lineRule="exact"/>
        <w:jc w:val="both"/>
        <w:textAlignment w:val="auto"/>
        <w:rPr>
          <w:rFonts w:ascii="Times New Roman" w:hAnsi="Times New Roman" w:eastAsia="仿宋_GB2312" w:cs="Times New Roman"/>
          <w:snapToGrid/>
          <w:kern w:val="2"/>
          <w:sz w:val="30"/>
          <w:szCs w:val="30"/>
        </w:rPr>
      </w:pPr>
      <w:r>
        <w:rPr>
          <w:rFonts w:ascii="Times New Roman" w:hAnsi="Times New Roman" w:eastAsia="仿宋_GB2312" w:cs="Times New Roman"/>
          <w:snapToGrid/>
          <w:kern w:val="2"/>
          <w:sz w:val="30"/>
          <w:szCs w:val="30"/>
        </w:rPr>
        <w:br w:type="page"/>
      </w:r>
      <w:r>
        <w:rPr>
          <w:rFonts w:ascii="Times New Roman" w:hAnsi="Times New Roman" w:eastAsia="黑体" w:cs="Times New Roman"/>
          <w:snapToGrid/>
          <w:kern w:val="2"/>
          <w:sz w:val="32"/>
          <w:szCs w:val="32"/>
        </w:rPr>
        <w:t>附表2.2</w:t>
      </w:r>
    </w:p>
    <w:p>
      <w:pPr>
        <w:kinsoku/>
        <w:autoSpaceDE/>
        <w:autoSpaceDN/>
        <w:adjustRightInd/>
        <w:snapToGrid/>
        <w:spacing w:line="560" w:lineRule="exact"/>
        <w:jc w:val="center"/>
        <w:textAlignment w:val="auto"/>
        <w:rPr>
          <w:rFonts w:ascii="Times New Roman" w:hAnsi="Times New Roman" w:eastAsia="方正小标宋简体" w:cs="Times New Roman"/>
          <w:bCs/>
          <w:snapToGrid/>
          <w:kern w:val="2"/>
          <w:sz w:val="40"/>
          <w:szCs w:val="40"/>
        </w:rPr>
      </w:pPr>
      <w:r>
        <w:rPr>
          <w:rFonts w:ascii="Times New Roman" w:hAnsi="Times New Roman" w:eastAsia="方正小标宋简体" w:cs="Times New Roman"/>
          <w:bCs/>
          <w:snapToGrid/>
          <w:kern w:val="2"/>
          <w:sz w:val="40"/>
          <w:szCs w:val="40"/>
        </w:rPr>
        <w:t>绿色工厂评价指标第三方评价表</w:t>
      </w:r>
    </w:p>
    <w:p>
      <w:pPr>
        <w:widowControl w:val="0"/>
        <w:kinsoku/>
        <w:snapToGrid/>
        <w:spacing w:line="560" w:lineRule="exact"/>
        <w:jc w:val="center"/>
        <w:textAlignment w:val="auto"/>
        <w:rPr>
          <w:rFonts w:ascii="Times New Roman" w:hAnsi="Times New Roman" w:eastAsia="仿宋_GB2312" w:cs="Times New Roman"/>
          <w:b/>
          <w:snapToGrid/>
          <w:sz w:val="30"/>
          <w:szCs w:val="30"/>
        </w:rPr>
      </w:pPr>
      <w:r>
        <w:rPr>
          <w:rFonts w:ascii="Times New Roman" w:hAnsi="Times New Roman" w:eastAsia="仿宋_GB2312" w:cs="Times New Roman"/>
          <w:b/>
          <w:snapToGrid/>
          <w:sz w:val="30"/>
          <w:szCs w:val="30"/>
        </w:rPr>
        <w:t>（20  年）</w:t>
      </w:r>
    </w:p>
    <w:tbl>
      <w:tblPr>
        <w:tblStyle w:val="3"/>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57"/>
        <w:gridCol w:w="1223"/>
        <w:gridCol w:w="1223"/>
        <w:gridCol w:w="5343"/>
        <w:gridCol w:w="2593"/>
        <w:gridCol w:w="1373"/>
        <w:gridCol w:w="917"/>
        <w:gridCol w:w="766"/>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jc w:val="center"/>
        </w:trPr>
        <w:tc>
          <w:tcPr>
            <w:tcW w:w="704" w:type="dxa"/>
            <w:noWrap w:val="0"/>
            <w:vAlign w:val="center"/>
          </w:tcPr>
          <w:p>
            <w:pPr>
              <w:kinsoku/>
              <w:autoSpaceDE/>
              <w:autoSpaceDN/>
              <w:adjustRightInd/>
              <w:snapToGrid/>
              <w:spacing w:line="320" w:lineRule="exact"/>
              <w:jc w:val="center"/>
              <w:textAlignment w:val="auto"/>
              <w:rPr>
                <w:rFonts w:hint="eastAsia" w:ascii="黑体" w:hAnsi="黑体" w:eastAsia="黑体" w:cs="黑体"/>
                <w:snapToGrid/>
                <w:sz w:val="24"/>
                <w:szCs w:val="24"/>
              </w:rPr>
            </w:pPr>
            <w:r>
              <w:rPr>
                <w:rFonts w:hint="eastAsia" w:ascii="黑体" w:hAnsi="黑体" w:eastAsia="黑体" w:cs="黑体"/>
                <w:snapToGrid/>
                <w:kern w:val="2"/>
                <w:sz w:val="24"/>
                <w:szCs w:val="24"/>
              </w:rPr>
              <w:t>序号</w:t>
            </w:r>
          </w:p>
        </w:tc>
        <w:tc>
          <w:tcPr>
            <w:tcW w:w="1135" w:type="dxa"/>
            <w:noWrap w:val="0"/>
            <w:vAlign w:val="center"/>
          </w:tcPr>
          <w:p>
            <w:pPr>
              <w:widowControl w:val="0"/>
              <w:kinsoku/>
              <w:autoSpaceDE/>
              <w:autoSpaceDN/>
              <w:adjustRightInd/>
              <w:snapToGrid/>
              <w:spacing w:line="320" w:lineRule="exact"/>
              <w:jc w:val="center"/>
              <w:textAlignment w:val="auto"/>
              <w:rPr>
                <w:rFonts w:hint="eastAsia" w:ascii="黑体" w:hAnsi="黑体" w:eastAsia="黑体" w:cs="黑体"/>
                <w:snapToGrid/>
                <w:kern w:val="2"/>
                <w:sz w:val="24"/>
                <w:szCs w:val="24"/>
              </w:rPr>
            </w:pPr>
            <w:r>
              <w:rPr>
                <w:rFonts w:hint="eastAsia" w:ascii="黑体" w:hAnsi="黑体" w:eastAsia="黑体" w:cs="黑体"/>
                <w:snapToGrid/>
                <w:kern w:val="2"/>
                <w:sz w:val="24"/>
                <w:szCs w:val="24"/>
              </w:rPr>
              <w:t>一级</w:t>
            </w:r>
          </w:p>
          <w:p>
            <w:pPr>
              <w:widowControl w:val="0"/>
              <w:kinsoku/>
              <w:autoSpaceDE/>
              <w:autoSpaceDN/>
              <w:adjustRightInd/>
              <w:snapToGrid/>
              <w:spacing w:line="320" w:lineRule="exact"/>
              <w:jc w:val="center"/>
              <w:textAlignment w:val="auto"/>
              <w:rPr>
                <w:rFonts w:hint="eastAsia" w:ascii="黑体" w:hAnsi="黑体" w:eastAsia="黑体" w:cs="黑体"/>
                <w:snapToGrid/>
                <w:kern w:val="2"/>
                <w:sz w:val="24"/>
                <w:szCs w:val="24"/>
              </w:rPr>
            </w:pPr>
            <w:r>
              <w:rPr>
                <w:rFonts w:hint="eastAsia" w:ascii="黑体" w:hAnsi="黑体" w:eastAsia="黑体" w:cs="黑体"/>
                <w:snapToGrid/>
                <w:kern w:val="2"/>
                <w:sz w:val="24"/>
                <w:szCs w:val="24"/>
              </w:rPr>
              <w:t>指标</w:t>
            </w:r>
          </w:p>
        </w:tc>
        <w:tc>
          <w:tcPr>
            <w:tcW w:w="1135" w:type="dxa"/>
            <w:noWrap w:val="0"/>
            <w:vAlign w:val="center"/>
          </w:tcPr>
          <w:p>
            <w:pPr>
              <w:widowControl w:val="0"/>
              <w:kinsoku/>
              <w:autoSpaceDE/>
              <w:autoSpaceDN/>
              <w:adjustRightInd/>
              <w:snapToGrid/>
              <w:spacing w:line="320" w:lineRule="exact"/>
              <w:jc w:val="center"/>
              <w:textAlignment w:val="auto"/>
              <w:rPr>
                <w:rFonts w:hint="eastAsia" w:ascii="黑体" w:hAnsi="黑体" w:eastAsia="黑体" w:cs="黑体"/>
                <w:snapToGrid/>
                <w:kern w:val="2"/>
                <w:sz w:val="24"/>
                <w:szCs w:val="24"/>
              </w:rPr>
            </w:pPr>
            <w:r>
              <w:rPr>
                <w:rFonts w:hint="eastAsia" w:ascii="黑体" w:hAnsi="黑体" w:eastAsia="黑体" w:cs="黑体"/>
                <w:snapToGrid/>
                <w:kern w:val="2"/>
                <w:sz w:val="24"/>
                <w:szCs w:val="24"/>
              </w:rPr>
              <w:t>二级</w:t>
            </w:r>
          </w:p>
          <w:p>
            <w:pPr>
              <w:widowControl w:val="0"/>
              <w:kinsoku/>
              <w:autoSpaceDE/>
              <w:autoSpaceDN/>
              <w:adjustRightInd/>
              <w:snapToGrid/>
              <w:spacing w:line="320" w:lineRule="exact"/>
              <w:jc w:val="center"/>
              <w:textAlignment w:val="auto"/>
              <w:rPr>
                <w:rFonts w:hint="eastAsia" w:ascii="黑体" w:hAnsi="黑体" w:eastAsia="黑体" w:cs="黑体"/>
                <w:snapToGrid/>
                <w:kern w:val="2"/>
                <w:sz w:val="24"/>
                <w:szCs w:val="24"/>
              </w:rPr>
            </w:pPr>
            <w:r>
              <w:rPr>
                <w:rFonts w:hint="eastAsia" w:ascii="黑体" w:hAnsi="黑体" w:eastAsia="黑体" w:cs="黑体"/>
                <w:snapToGrid/>
                <w:kern w:val="2"/>
                <w:sz w:val="24"/>
                <w:szCs w:val="24"/>
              </w:rPr>
              <w:t>指标</w:t>
            </w:r>
          </w:p>
        </w:tc>
        <w:tc>
          <w:tcPr>
            <w:tcW w:w="4960" w:type="dxa"/>
            <w:noWrap w:val="0"/>
            <w:vAlign w:val="center"/>
          </w:tcPr>
          <w:p>
            <w:pPr>
              <w:widowControl w:val="0"/>
              <w:kinsoku/>
              <w:autoSpaceDE/>
              <w:autoSpaceDN/>
              <w:adjustRightInd/>
              <w:snapToGrid/>
              <w:spacing w:line="320" w:lineRule="exact"/>
              <w:jc w:val="center"/>
              <w:textAlignment w:val="auto"/>
              <w:rPr>
                <w:rFonts w:hint="eastAsia" w:ascii="黑体" w:hAnsi="黑体" w:eastAsia="黑体" w:cs="黑体"/>
                <w:snapToGrid/>
                <w:kern w:val="2"/>
                <w:sz w:val="24"/>
                <w:szCs w:val="24"/>
              </w:rPr>
            </w:pPr>
            <w:r>
              <w:rPr>
                <w:rFonts w:hint="eastAsia" w:ascii="黑体" w:hAnsi="黑体" w:eastAsia="黑体" w:cs="黑体"/>
                <w:snapToGrid/>
                <w:kern w:val="2"/>
                <w:sz w:val="24"/>
                <w:szCs w:val="24"/>
              </w:rPr>
              <w:t>具体评价要求</w:t>
            </w:r>
          </w:p>
        </w:tc>
        <w:tc>
          <w:tcPr>
            <w:tcW w:w="2407" w:type="dxa"/>
            <w:noWrap w:val="0"/>
            <w:vAlign w:val="center"/>
          </w:tcPr>
          <w:p>
            <w:pPr>
              <w:widowControl w:val="0"/>
              <w:kinsoku/>
              <w:autoSpaceDE/>
              <w:autoSpaceDN/>
              <w:adjustRightInd/>
              <w:snapToGrid/>
              <w:spacing w:line="320" w:lineRule="exact"/>
              <w:jc w:val="center"/>
              <w:textAlignment w:val="auto"/>
              <w:rPr>
                <w:rFonts w:hint="eastAsia" w:ascii="黑体" w:hAnsi="黑体" w:eastAsia="黑体" w:cs="黑体"/>
                <w:snapToGrid/>
                <w:kern w:val="2"/>
                <w:sz w:val="24"/>
                <w:szCs w:val="24"/>
              </w:rPr>
            </w:pPr>
            <w:r>
              <w:rPr>
                <w:rFonts w:hint="eastAsia" w:ascii="黑体" w:hAnsi="黑体" w:eastAsia="黑体" w:cs="黑体"/>
                <w:snapToGrid/>
                <w:kern w:val="2"/>
                <w:sz w:val="24"/>
                <w:szCs w:val="24"/>
              </w:rPr>
              <w:t>符合性说明及证明材料索引</w:t>
            </w:r>
          </w:p>
        </w:tc>
        <w:tc>
          <w:tcPr>
            <w:tcW w:w="1275" w:type="dxa"/>
            <w:noWrap w:val="0"/>
            <w:vAlign w:val="center"/>
          </w:tcPr>
          <w:p>
            <w:pPr>
              <w:widowControl w:val="0"/>
              <w:kinsoku/>
              <w:autoSpaceDE/>
              <w:autoSpaceDN/>
              <w:adjustRightInd/>
              <w:snapToGrid/>
              <w:spacing w:line="320" w:lineRule="exact"/>
              <w:jc w:val="center"/>
              <w:textAlignment w:val="auto"/>
              <w:rPr>
                <w:rFonts w:hint="eastAsia" w:ascii="黑体" w:hAnsi="黑体" w:eastAsia="黑体" w:cs="黑体"/>
                <w:snapToGrid/>
                <w:kern w:val="2"/>
                <w:sz w:val="24"/>
                <w:szCs w:val="24"/>
              </w:rPr>
            </w:pPr>
            <w:r>
              <w:rPr>
                <w:rFonts w:hint="eastAsia" w:ascii="黑体" w:hAnsi="黑体" w:eastAsia="黑体" w:cs="黑体"/>
                <w:snapToGrid/>
                <w:kern w:val="2"/>
                <w:sz w:val="24"/>
                <w:szCs w:val="24"/>
              </w:rPr>
              <w:t>要求类型</w:t>
            </w:r>
          </w:p>
        </w:tc>
        <w:tc>
          <w:tcPr>
            <w:tcW w:w="851" w:type="dxa"/>
            <w:noWrap w:val="0"/>
            <w:vAlign w:val="center"/>
          </w:tcPr>
          <w:p>
            <w:pPr>
              <w:widowControl w:val="0"/>
              <w:kinsoku/>
              <w:autoSpaceDE/>
              <w:autoSpaceDN/>
              <w:adjustRightInd/>
              <w:snapToGrid/>
              <w:spacing w:line="320" w:lineRule="exact"/>
              <w:jc w:val="center"/>
              <w:textAlignment w:val="auto"/>
              <w:rPr>
                <w:rFonts w:hint="eastAsia" w:ascii="黑体" w:hAnsi="黑体" w:eastAsia="黑体" w:cs="黑体"/>
                <w:snapToGrid/>
                <w:kern w:val="2"/>
                <w:sz w:val="24"/>
                <w:szCs w:val="24"/>
              </w:rPr>
            </w:pPr>
            <w:r>
              <w:rPr>
                <w:rFonts w:hint="eastAsia" w:ascii="黑体" w:hAnsi="黑体" w:eastAsia="黑体" w:cs="黑体"/>
                <w:snapToGrid/>
                <w:kern w:val="2"/>
                <w:sz w:val="24"/>
                <w:szCs w:val="24"/>
              </w:rPr>
              <w:t>分值</w:t>
            </w:r>
          </w:p>
        </w:tc>
        <w:tc>
          <w:tcPr>
            <w:tcW w:w="711" w:type="dxa"/>
            <w:noWrap w:val="0"/>
            <w:vAlign w:val="center"/>
          </w:tcPr>
          <w:p>
            <w:pPr>
              <w:widowControl w:val="0"/>
              <w:kinsoku/>
              <w:autoSpaceDE/>
              <w:autoSpaceDN/>
              <w:adjustRightInd/>
              <w:snapToGrid/>
              <w:spacing w:line="320" w:lineRule="exact"/>
              <w:jc w:val="center"/>
              <w:textAlignment w:val="auto"/>
              <w:rPr>
                <w:rFonts w:hint="eastAsia" w:ascii="黑体" w:hAnsi="黑体" w:eastAsia="黑体" w:cs="黑体"/>
                <w:snapToGrid/>
                <w:kern w:val="2"/>
                <w:sz w:val="24"/>
                <w:szCs w:val="24"/>
              </w:rPr>
            </w:pPr>
            <w:r>
              <w:rPr>
                <w:rFonts w:hint="eastAsia" w:ascii="黑体" w:hAnsi="黑体" w:eastAsia="黑体" w:cs="黑体"/>
                <w:snapToGrid/>
                <w:kern w:val="2"/>
                <w:sz w:val="24"/>
                <w:szCs w:val="24"/>
              </w:rPr>
              <w:t>权重</w:t>
            </w:r>
          </w:p>
        </w:tc>
        <w:tc>
          <w:tcPr>
            <w:tcW w:w="770" w:type="dxa"/>
            <w:noWrap w:val="0"/>
            <w:vAlign w:val="center"/>
          </w:tcPr>
          <w:p>
            <w:pPr>
              <w:widowControl w:val="0"/>
              <w:kinsoku/>
              <w:autoSpaceDE/>
              <w:autoSpaceDN/>
              <w:adjustRightInd/>
              <w:snapToGrid/>
              <w:spacing w:line="320" w:lineRule="exact"/>
              <w:jc w:val="center"/>
              <w:textAlignment w:val="auto"/>
              <w:rPr>
                <w:rFonts w:hint="eastAsia" w:ascii="黑体" w:hAnsi="黑体" w:eastAsia="黑体" w:cs="黑体"/>
                <w:snapToGrid/>
                <w:kern w:val="2"/>
                <w:sz w:val="24"/>
                <w:szCs w:val="24"/>
              </w:rPr>
            </w:pPr>
            <w:r>
              <w:rPr>
                <w:rFonts w:hint="eastAsia" w:ascii="黑体" w:hAnsi="黑体" w:eastAsia="黑体" w:cs="黑体"/>
                <w:snapToGrid/>
                <w:kern w:val="2"/>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w:t>
            </w: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基础设施</w:t>
            </w: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建筑</w:t>
            </w: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工厂的建筑应满足国家或地方相关法律法规及标准的要求。</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8</w:t>
            </w:r>
          </w:p>
        </w:tc>
        <w:tc>
          <w:tcPr>
            <w:tcW w:w="711"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20%</w:t>
            </w: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新建、改建和扩建建筑时，应遵守国家“固定资产投资项目节能评估审查制度”、“三同时制度”、“工业项目建设用地控制指标”等产业政策和有关要求。</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厂房内部装饰装修材料中醛、苯、氨、氡等有害物质应符合国家和地方法律、标准要求。</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危险品仓库、有毒有害操作间、废弃物处理间等产生污染物的房间应独立设置。</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建筑材料：（1）选用蕴能低、高性能、高耐久性和本地建材，减少建材在全生命周期中的能源消耗；（2）室内装饰装修材料满足国家标准GB 18580～18588和《建筑材料放射性核素限量》GB 6566的要求。</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建筑结构：采用钢结构、砌体结构和木结构等资源消耗和环境影响小的建筑结构体系。</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再生资源及能源利用：（1）可再生能源的使用占建筑总能耗的比例大于10%；（2）采用节水器具和设备，节水率不低于10%。</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适用时，工厂的厂房采用多层建筑。</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照明</w:t>
            </w: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2"/>
              </w:rPr>
              <w:t>人工照明应符合GB 50034规定。</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7</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2"/>
              </w:rPr>
              <w:t>不同场所的照明应进行分级设计。</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工厂厂区及各房间或场所的照明尽量利用自然光。</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工艺适用时，节能灯等节能型照明设备的使用占比不低于50%。</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公共场所的照明采取分区、分组与定时自动调光等措施。</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设备</w:t>
            </w:r>
          </w:p>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设施</w:t>
            </w:r>
          </w:p>
        </w:tc>
        <w:tc>
          <w:tcPr>
            <w:tcW w:w="4960" w:type="dxa"/>
            <w:noWrap w:val="0"/>
            <w:vAlign w:val="center"/>
          </w:tcPr>
          <w:p>
            <w:pPr>
              <w:widowControl w:val="0"/>
              <w:kinsoku/>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工厂使用的专用设备应符合产业准入要求，降低能源与资源消耗，减少污染物排放。</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5</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适用时，工厂使用的通用设备应达到相关标准中能效限定值的强制性要求。已明令禁止生产、使用的和能耗高、效率低的设备应限期淘汰更新。</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5</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工厂使用的通用设备或其系统的实际运行效率或主要运行参数应符合该设备经济运行的要求。</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5</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pStyle w:val="5"/>
              <w:kinsoku/>
              <w:snapToGrid/>
              <w:spacing w:before="0" w:beforeAutospacing="0" w:after="0" w:afterAutospacing="0" w:line="320" w:lineRule="exact"/>
              <w:jc w:val="both"/>
              <w:textAlignment w:val="auto"/>
              <w:rPr>
                <w:rFonts w:ascii="Times New Roman" w:hAnsi="Times New Roman" w:eastAsia="仿宋_GB2312" w:cs="Times New Roman"/>
                <w:snapToGrid/>
                <w:szCs w:val="24"/>
              </w:rPr>
            </w:pPr>
            <w:r>
              <w:rPr>
                <w:rFonts w:ascii="Times New Roman" w:hAnsi="Times New Roman" w:eastAsia="仿宋_GB2312" w:cs="Times New Roman"/>
                <w:snapToGrid/>
              </w:rPr>
              <w:t>工厂应依据GB 17167、GB24789等要求配备、使用和管理能源、水以及其他资源的计量器具和装置。</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5</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5</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5</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工厂使用的通用用能设备采用了节能型产品或效率高、能耗低、水耗低、物耗低的产品。</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8</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2</w:t>
            </w: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管理体系</w:t>
            </w: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一般</w:t>
            </w:r>
          </w:p>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要求</w:t>
            </w:r>
          </w:p>
        </w:tc>
        <w:tc>
          <w:tcPr>
            <w:tcW w:w="4960" w:type="dxa"/>
            <w:noWrap w:val="0"/>
            <w:vAlign w:val="center"/>
          </w:tcPr>
          <w:p>
            <w:pPr>
              <w:widowControl w:val="0"/>
              <w:kinsoku/>
              <w:autoSpaceDE/>
              <w:autoSpaceDN/>
              <w:adjustRightInd/>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工厂建立、实施并保持满足GB/T 19001的要求的质量管理体系。</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15%</w:t>
            </w: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通过质量管理体系第三方认证。</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8</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工厂建立、实施并保持满足GB/T 28001要求的职业健康安全管理体系。</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通过职业健康安全管理体系第三方认证。</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8</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环境管理体系</w:t>
            </w:r>
          </w:p>
        </w:tc>
        <w:tc>
          <w:tcPr>
            <w:tcW w:w="4960" w:type="dxa"/>
            <w:noWrap w:val="0"/>
            <w:vAlign w:val="center"/>
          </w:tcPr>
          <w:p>
            <w:pPr>
              <w:widowControl w:val="0"/>
              <w:kinsoku/>
              <w:autoSpaceDE/>
              <w:autoSpaceDN/>
              <w:adjustRightInd/>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工厂建立、实施并保持满足GB/T 24001要求的环境管理体系。</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20</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通过环境管理体系第三方认证。</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能源管理体系</w:t>
            </w: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工厂建立、实施并保持满足GB/T 23331要求的能源管理体系。</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20</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通过能源管理体系第三方认证。</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社会</w:t>
            </w:r>
          </w:p>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责任</w:t>
            </w:r>
          </w:p>
        </w:tc>
        <w:tc>
          <w:tcPr>
            <w:tcW w:w="4960" w:type="dxa"/>
            <w:noWrap w:val="0"/>
            <w:vAlign w:val="center"/>
          </w:tcPr>
          <w:p>
            <w:pPr>
              <w:widowControl w:val="0"/>
              <w:kinsoku/>
              <w:autoSpaceDE/>
              <w:autoSpaceDN/>
              <w:adjustRightInd/>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每年发布社会责任报告，说明履行利益相关方责任的情况，特别是环境社会责任的履行情况，报告公开可获得。</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w:t>
            </w: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能源资源投入</w:t>
            </w: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能源</w:t>
            </w:r>
          </w:p>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投入</w:t>
            </w: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2"/>
              </w:rPr>
              <w:t>工厂应优化用能结构，在保证安全、质量的前提下减少不可再生能源投入。</w:t>
            </w:r>
          </w:p>
        </w:tc>
        <w:tc>
          <w:tcPr>
            <w:tcW w:w="2407"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15%</w:t>
            </w: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建有能源管理中心。</w:t>
            </w:r>
          </w:p>
        </w:tc>
        <w:tc>
          <w:tcPr>
            <w:tcW w:w="2407"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8</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建有厂区光伏电站、智能微电网。</w:t>
            </w:r>
          </w:p>
        </w:tc>
        <w:tc>
          <w:tcPr>
            <w:tcW w:w="2407"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5</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使用了低碳清洁的新能源。</w:t>
            </w:r>
          </w:p>
        </w:tc>
        <w:tc>
          <w:tcPr>
            <w:tcW w:w="2407"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使用可再生能源代替不可再生能源。</w:t>
            </w:r>
          </w:p>
        </w:tc>
        <w:tc>
          <w:tcPr>
            <w:tcW w:w="2407"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充分利用余热余压。</w:t>
            </w:r>
          </w:p>
        </w:tc>
        <w:tc>
          <w:tcPr>
            <w:tcW w:w="2407"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资源</w:t>
            </w:r>
          </w:p>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投入</w:t>
            </w:r>
          </w:p>
        </w:tc>
        <w:tc>
          <w:tcPr>
            <w:tcW w:w="4960" w:type="dxa"/>
            <w:noWrap w:val="0"/>
            <w:vAlign w:val="center"/>
          </w:tcPr>
          <w:p>
            <w:pPr>
              <w:widowControl w:val="0"/>
              <w:kinsoku/>
              <w:autoSpaceDE/>
              <w:autoSpaceDN/>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工厂应按照GB/T 7119的要求对其开展节水评价工作，且满足GB/T 18916（所有部分）中对应本行业的取水定额要求。</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pacing w:val="-6"/>
                <w:sz w:val="24"/>
                <w:szCs w:val="22"/>
              </w:rPr>
              <w:t>工厂应减少材料、尤其是有害物质的使用，评估有害物质及化学品减量使用或替代的可行性。</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4"/>
              </w:rPr>
              <w:t>工厂应按照GB/T 29115的要求对其原材料使用量的减少进行评价。</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使用回收料、可回收材料替代原生材料、不可回收材料。</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5</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替代或减少全球增温潜势较高温室气体的使用。</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采购</w:t>
            </w: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2"/>
              </w:rPr>
              <w:t>工厂应制定并实施包括环保要求的选择、评价和重新评价供方的准则</w:t>
            </w:r>
            <w:r>
              <w:rPr>
                <w:rFonts w:ascii="Times New Roman" w:hAnsi="Times New Roman" w:eastAsia="仿宋_GB2312" w:cs="Times New Roman"/>
                <w:snapToGrid/>
                <w:kern w:val="2"/>
                <w:sz w:val="24"/>
                <w:szCs w:val="24"/>
              </w:rPr>
              <w:t>。</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2"/>
              </w:rPr>
              <w:t>工厂应确定并实施检验或其他必要的活动，以确保采购的产品满足规定的采购要求。</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工厂向供方提供的采购信息包含有害物质使用、可回收材料使用、能效等环保要求。</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满足绿色供应链评价要求。</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5</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产品</w:t>
            </w: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生态</w:t>
            </w:r>
          </w:p>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设计</w:t>
            </w: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工厂在产品设计中引入生态设计的理念。</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30</w:t>
            </w:r>
          </w:p>
        </w:tc>
        <w:tc>
          <w:tcPr>
            <w:tcW w:w="711"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pacing w:val="-6"/>
                <w:sz w:val="24"/>
                <w:szCs w:val="22"/>
              </w:rPr>
              <w:t>按照GB/T 24256对生产的产品进行生态设计。</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32161对生产的产品进行生态设计产品评价，满足绿色产品（生态设计产品）评价要求。</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有害物质使用</w:t>
            </w: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工厂生产的产品（包括原料和辅料）应减少有害物质的使用，避免有害物质的泄露，满足国家对产品中有害物质限制使用的要求。</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15</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2"/>
              </w:rPr>
              <w:t>实现有害物质替代。</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节能</w:t>
            </w: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工厂生产的产品若为用能产品或在使用过程中对最终产品/构造的能耗有影响的产品，适用时，应满足相关标准的限定值要求。未制定标准的，产品能效应不低于行业平均值。</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必选（适用时）</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15</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2"/>
              </w:rPr>
              <w:t>达到相关标准中的节能评价值/先进值要求，未制定标准的，产品能效达到行业前20%的水平，前5%为满分。</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可选（适用时）</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减碳</w:t>
            </w: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2"/>
              </w:rPr>
              <w:t>采用适用的标准或规范对产品进行碳足迹核算或核查。</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2"/>
              </w:rPr>
              <w:t>利用核算或核查结果对其产品的碳足迹进行改善。核算或核查结果对外公布。</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2"/>
              </w:rPr>
              <w:t>适用时，产品满足相关低碳产品要求。</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可回收利用率</w:t>
            </w:r>
          </w:p>
        </w:tc>
        <w:tc>
          <w:tcPr>
            <w:tcW w:w="4960" w:type="dxa"/>
            <w:noWrap w:val="0"/>
            <w:vAlign w:val="center"/>
          </w:tcPr>
          <w:p>
            <w:pPr>
              <w:widowControl w:val="0"/>
              <w:kinsoku/>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按照GB/T 20862的要求计算其产品的可回收利用率。</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利用计算结果对产品的可回收利用率进行改善。</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5</w:t>
            </w: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环境</w:t>
            </w:r>
          </w:p>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排放</w:t>
            </w: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大气污染物</w:t>
            </w:r>
          </w:p>
        </w:tc>
        <w:tc>
          <w:tcPr>
            <w:tcW w:w="4960" w:type="dxa"/>
            <w:noWrap w:val="0"/>
            <w:vAlign w:val="center"/>
          </w:tcPr>
          <w:p>
            <w:pPr>
              <w:widowControl w:val="0"/>
              <w:kinsoku/>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工厂的大气污染物排放应符合相关国家标准、行业标准及地方标准要求，并满足区域内排放总量控制要求。</w:t>
            </w:r>
          </w:p>
        </w:tc>
        <w:tc>
          <w:tcPr>
            <w:tcW w:w="2407" w:type="dxa"/>
            <w:noWrap w:val="0"/>
            <w:vAlign w:val="center"/>
          </w:tcPr>
          <w:p>
            <w:pPr>
              <w:widowControl w:val="0"/>
              <w:kinsoku/>
              <w:autoSpaceDE/>
              <w:autoSpaceDN/>
              <w:adjustRightInd/>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15</w:t>
            </w:r>
          </w:p>
        </w:tc>
        <w:tc>
          <w:tcPr>
            <w:tcW w:w="711"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snapToGrid/>
              <w:spacing w:line="280" w:lineRule="exact"/>
              <w:jc w:val="both"/>
              <w:textAlignment w:val="auto"/>
              <w:rPr>
                <w:rFonts w:ascii="Times New Roman" w:hAnsi="Times New Roman" w:eastAsia="仿宋_GB2312" w:cs="Times New Roman"/>
                <w:snapToGrid/>
                <w:sz w:val="24"/>
                <w:szCs w:val="24"/>
              </w:rPr>
            </w:pPr>
            <w:r>
              <w:rPr>
                <w:rFonts w:ascii="Times New Roman" w:hAnsi="Times New Roman" w:eastAsia="仿宋_GB2312" w:cs="Times New Roman"/>
                <w:snapToGrid/>
                <w:sz w:val="24"/>
                <w:szCs w:val="22"/>
              </w:rPr>
              <w:t>工厂的主要大气污染物排放满足标准中更高等级的要求。</w:t>
            </w:r>
          </w:p>
        </w:tc>
        <w:tc>
          <w:tcPr>
            <w:tcW w:w="2407" w:type="dxa"/>
            <w:noWrap w:val="0"/>
            <w:vAlign w:val="center"/>
          </w:tcPr>
          <w:p>
            <w:pPr>
              <w:widowControl w:val="0"/>
              <w:kinsoku/>
              <w:autoSpaceDE/>
              <w:autoSpaceDN/>
              <w:adjustRightInd/>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234"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水体污染物</w:t>
            </w:r>
          </w:p>
        </w:tc>
        <w:tc>
          <w:tcPr>
            <w:tcW w:w="4960" w:type="dxa"/>
            <w:noWrap w:val="0"/>
            <w:vAlign w:val="center"/>
          </w:tcPr>
          <w:p>
            <w:pPr>
              <w:widowControl w:val="0"/>
              <w:kinsoku/>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2"/>
              </w:rPr>
              <w:t>工厂的水体污染物排放应符合相关国家标准、行业标准及地方标准要求，或在满足要求的前提下委托具备相应能力和资质的处理厂进行处理，并满足区域内排放总量控制要求。</w:t>
            </w:r>
          </w:p>
        </w:tc>
        <w:tc>
          <w:tcPr>
            <w:tcW w:w="2407" w:type="dxa"/>
            <w:noWrap w:val="0"/>
            <w:vAlign w:val="center"/>
          </w:tcPr>
          <w:p>
            <w:pPr>
              <w:widowControl w:val="0"/>
              <w:kinsoku/>
              <w:autoSpaceDE/>
              <w:autoSpaceDN/>
              <w:adjustRightInd/>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15</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18"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snapToGrid/>
              <w:spacing w:line="280" w:lineRule="exact"/>
              <w:jc w:val="both"/>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工厂的主要水体污染物排放满足标准中更高等级的要求。</w:t>
            </w:r>
          </w:p>
        </w:tc>
        <w:tc>
          <w:tcPr>
            <w:tcW w:w="2407" w:type="dxa"/>
            <w:noWrap w:val="0"/>
            <w:vAlign w:val="center"/>
          </w:tcPr>
          <w:p>
            <w:pPr>
              <w:widowControl w:val="0"/>
              <w:kinsoku/>
              <w:autoSpaceDE/>
              <w:autoSpaceDN/>
              <w:adjustRightInd/>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255"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固体废弃物</w:t>
            </w:r>
          </w:p>
        </w:tc>
        <w:tc>
          <w:tcPr>
            <w:tcW w:w="4960" w:type="dxa"/>
            <w:noWrap w:val="0"/>
            <w:vAlign w:val="center"/>
          </w:tcPr>
          <w:p>
            <w:pPr>
              <w:widowControl w:val="0"/>
              <w:kinsoku/>
              <w:autoSpaceDE/>
              <w:autoSpaceDN/>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工厂产生的固体废弃物的处理应符合GB 18599及相关标准的要求。工厂无法自行处理的，应将固体废弃物转交给具备相应能力和资质的处理厂进行处理。</w:t>
            </w:r>
          </w:p>
        </w:tc>
        <w:tc>
          <w:tcPr>
            <w:tcW w:w="2407" w:type="dxa"/>
            <w:noWrap w:val="0"/>
            <w:vAlign w:val="center"/>
          </w:tcPr>
          <w:p>
            <w:pPr>
              <w:widowControl w:val="0"/>
              <w:kinsoku/>
              <w:autoSpaceDE/>
              <w:autoSpaceDN/>
              <w:adjustRightInd/>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18"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噪声</w:t>
            </w:r>
          </w:p>
        </w:tc>
        <w:tc>
          <w:tcPr>
            <w:tcW w:w="4960" w:type="dxa"/>
            <w:noWrap w:val="0"/>
            <w:vAlign w:val="center"/>
          </w:tcPr>
          <w:p>
            <w:pPr>
              <w:widowControl w:val="0"/>
              <w:kinsoku/>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2"/>
              </w:rPr>
              <w:t>工厂的厂界环境噪声排放应符合相关国家标准、行业标准及地方标准要求。</w:t>
            </w:r>
          </w:p>
        </w:tc>
        <w:tc>
          <w:tcPr>
            <w:tcW w:w="2407" w:type="dxa"/>
            <w:noWrap w:val="0"/>
            <w:vAlign w:val="center"/>
          </w:tcPr>
          <w:p>
            <w:pPr>
              <w:widowControl w:val="0"/>
              <w:kinsoku/>
              <w:autoSpaceDE/>
              <w:autoSpaceDN/>
              <w:adjustRightInd/>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18"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温室</w:t>
            </w:r>
          </w:p>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气体</w:t>
            </w:r>
          </w:p>
        </w:tc>
        <w:tc>
          <w:tcPr>
            <w:tcW w:w="4960" w:type="dxa"/>
            <w:noWrap w:val="0"/>
            <w:vAlign w:val="center"/>
          </w:tcPr>
          <w:p>
            <w:pPr>
              <w:widowControl w:val="0"/>
              <w:kinsoku/>
              <w:autoSpaceDE/>
              <w:autoSpaceDN/>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工厂应采用GB/T 32150或适用的标准或规范对其厂界范围内的温室气体排放进行核算和报告。</w:t>
            </w:r>
          </w:p>
        </w:tc>
        <w:tc>
          <w:tcPr>
            <w:tcW w:w="2407" w:type="dxa"/>
            <w:noWrap w:val="0"/>
            <w:vAlign w:val="center"/>
          </w:tcPr>
          <w:p>
            <w:pPr>
              <w:widowControl w:val="0"/>
              <w:kinsoku/>
              <w:autoSpaceDE/>
              <w:autoSpaceDN/>
              <w:adjustRightInd/>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获得温室气体排放量第三方核查声明。</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核查结果对外公布。</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可行时，利用核算或核查结果对其温室气体的排放进行改善。</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绩效</w:t>
            </w: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用地集约化</w:t>
            </w: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36132附录A计算工厂容积率，指标应不低于《工业项目建设用地控制指标》的要求。</w:t>
            </w:r>
          </w:p>
        </w:tc>
        <w:tc>
          <w:tcPr>
            <w:tcW w:w="2407" w:type="dxa"/>
            <w:vMerge w:val="restart"/>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w:t>
            </w:r>
          </w:p>
        </w:tc>
        <w:tc>
          <w:tcPr>
            <w:tcW w:w="711"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30%</w:t>
            </w: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36132附录A计算工厂容积率，指标达到《工业项目建设用地控制指标》要求的1.2倍及以上，2倍及以上为满分。</w:t>
            </w:r>
          </w:p>
        </w:tc>
        <w:tc>
          <w:tcPr>
            <w:tcW w:w="2407"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2</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36132附录A计算工厂建筑密度，建筑密度不低于30%。</w:t>
            </w:r>
          </w:p>
        </w:tc>
        <w:tc>
          <w:tcPr>
            <w:tcW w:w="2407" w:type="dxa"/>
            <w:vMerge w:val="restart"/>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36132附录A计算工厂建筑密度，建筑密度达到40%。</w:t>
            </w:r>
          </w:p>
        </w:tc>
        <w:tc>
          <w:tcPr>
            <w:tcW w:w="2407"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2</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780"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厂的单位用地面积产能应不低于行业平均水平；或：工厂的单位用地面积产值不低于地方发布的单位用地面积产值的要求；未发布单位用地面积产值的地区，单位用地面积产值应超过本年度所在省市的单位用地面积产值。</w:t>
            </w:r>
          </w:p>
        </w:tc>
        <w:tc>
          <w:tcPr>
            <w:tcW w:w="2407" w:type="dxa"/>
            <w:vMerge w:val="restart"/>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078"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厂的单位用地面积产能指标优于行业前20%，前5%为满分；或：单位用地面积产值达到地方发布的单位用地面积产值的要求的1.2倍及以上，2倍为满分；未发布单位用地面积产值的地区，单位用地面积产值应达到本年度所在省市的单位用地面积产值1.2倍及以上，2倍为满分。</w:t>
            </w:r>
          </w:p>
        </w:tc>
        <w:tc>
          <w:tcPr>
            <w:tcW w:w="2407"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2</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原料无害化</w:t>
            </w: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36132附录A识别、统计和计算工厂的绿色物料使用情况。</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36132附录A计算工厂主要物料的绿色物料使用率达30%及以上。</w:t>
            </w:r>
          </w:p>
        </w:tc>
        <w:tc>
          <w:tcPr>
            <w:tcW w:w="2407"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生产洁净化</w:t>
            </w: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36132附录A计算单位产品主要污染物产生量（包括化学需氧量、氨氮、二氧化硫、氮氧化物等），指标应不高于行业平均水平。（装备、电子、电器等离散制造业可采用单位产值或单位工业增加值指标。）</w:t>
            </w:r>
          </w:p>
        </w:tc>
        <w:tc>
          <w:tcPr>
            <w:tcW w:w="2407" w:type="dxa"/>
            <w:vMerge w:val="restart"/>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36132附录A计算单位产品主要污染物产生量（包括化学需氧量、氨氮、二氧化硫、氮氧化物等），指标优于行业前20%水平。（装备、电子、电器等离散制造业可采用单位产值或单位工业增加值指标。）前5%为满分。</w:t>
            </w:r>
          </w:p>
        </w:tc>
        <w:tc>
          <w:tcPr>
            <w:tcW w:w="2407"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36132附录A计算单位产品废气产生量，指标应不高于行业平均水平。（装备、电子、电器等离散制造业可采用单位产值或单位工业增加值指标。）</w:t>
            </w:r>
          </w:p>
        </w:tc>
        <w:tc>
          <w:tcPr>
            <w:tcW w:w="2407" w:type="dxa"/>
            <w:vMerge w:val="restart"/>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36132附录A计算单位产品废气产生量，指标优于行业前20%水平。（装备、电子、电器等离散制造业可采用单位产值或单位工业增加值指标。）前5%为满分。</w:t>
            </w:r>
          </w:p>
        </w:tc>
        <w:tc>
          <w:tcPr>
            <w:tcW w:w="2407"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36132附录A计算单位产品废水产生量，指标应不高于行业平均水平。（装备、电子、电器等离散制造业可采用单位产值或单位工业增加值指标。）</w:t>
            </w:r>
          </w:p>
        </w:tc>
        <w:tc>
          <w:tcPr>
            <w:tcW w:w="2407" w:type="dxa"/>
            <w:vMerge w:val="restart"/>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36132附录A计算单位产品废水产生量，指标优于行业前20%水平。（装备、电子、电器等离散制造业可采用单位产值或单位工业增加值指标。）前5%为满分。</w:t>
            </w:r>
          </w:p>
        </w:tc>
        <w:tc>
          <w:tcPr>
            <w:tcW w:w="2407"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废物资源化</w:t>
            </w: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36132附录A计算单位产品主要原材料消耗量，指标应不高于行业平均水平。</w:t>
            </w:r>
          </w:p>
        </w:tc>
        <w:tc>
          <w:tcPr>
            <w:tcW w:w="2407" w:type="dxa"/>
            <w:vMerge w:val="restart"/>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36132附录A计算单位产品主要原材料消耗量，指标优于行业前20%水平，前5%为满分。</w:t>
            </w:r>
          </w:p>
        </w:tc>
        <w:tc>
          <w:tcPr>
            <w:tcW w:w="2407"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36132附录A计算工业固体废物综合利用率，指标应大于65%（根据行业特点，该指标可在±20%之间选取）。</w:t>
            </w:r>
          </w:p>
        </w:tc>
        <w:tc>
          <w:tcPr>
            <w:tcW w:w="2407" w:type="dxa"/>
            <w:vMerge w:val="restart"/>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36132附录A计算工业固体废物综合利用率，指标达到73%（根据行业特点，该指标可在±20%之间选取），90%为满分。</w:t>
            </w:r>
          </w:p>
        </w:tc>
        <w:tc>
          <w:tcPr>
            <w:tcW w:w="2407"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36132附录A计算废水处理回用率，指标高于行业平均值。</w:t>
            </w:r>
          </w:p>
        </w:tc>
        <w:tc>
          <w:tcPr>
            <w:tcW w:w="2407" w:type="dxa"/>
            <w:vMerge w:val="restart"/>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36132附录A计算废水处理回用率，指标优于行业前20%水平，前5%为满分。</w:t>
            </w:r>
          </w:p>
        </w:tc>
        <w:tc>
          <w:tcPr>
            <w:tcW w:w="2407"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能源低碳化</w:t>
            </w: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36132附录A计算单位产品综合能耗，指标应符合相关国家、行业标准中的限额要求。未制定相关标准的，应达到行业平均水平。（装备、电子、电器等离散制造业可采用单位产值或单位工业增加值指标。）</w:t>
            </w:r>
          </w:p>
        </w:tc>
        <w:tc>
          <w:tcPr>
            <w:tcW w:w="2407" w:type="dxa"/>
            <w:vMerge w:val="restart"/>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单位产品综合能耗，指标达到相关国家、行业标准中的先进值要求。未制定相关标准的，应优于行业前20%水平。（装备、电子、电器等离散制造业可采用单位产值或单位工业增加值指标。）前5%为满分。</w:t>
            </w:r>
          </w:p>
        </w:tc>
        <w:tc>
          <w:tcPr>
            <w:tcW w:w="2407"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36132附录A计算单位产品碳排放量，指标应优于行业平均水平。（装备、电子、电器等离散制造业可采用单位产值或单位工业增加值指标。）</w:t>
            </w:r>
          </w:p>
        </w:tc>
        <w:tc>
          <w:tcPr>
            <w:tcW w:w="2407" w:type="dxa"/>
            <w:vMerge w:val="restart"/>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36132附录A计算单位产品碳排放量，指标优于行业前20%水平。（装备、电子、电器等离散制造业可采用单位产值或单位工业增加值指标。）前5%为满分。</w:t>
            </w:r>
          </w:p>
        </w:tc>
        <w:tc>
          <w:tcPr>
            <w:tcW w:w="2407"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275"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2</w:t>
            </w:r>
          </w:p>
        </w:tc>
        <w:tc>
          <w:tcPr>
            <w:tcW w:w="711" w:type="dxa"/>
            <w:vMerge w:val="continue"/>
            <w:noWrap w:val="0"/>
            <w:vAlign w:val="center"/>
          </w:tcPr>
          <w:p>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13178" w:type="dxa"/>
            <w:gridSpan w:val="8"/>
            <w:noWrap w:val="0"/>
            <w:vAlign w:val="center"/>
          </w:tcPr>
          <w:p>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总分</w:t>
            </w:r>
          </w:p>
        </w:tc>
        <w:tc>
          <w:tcPr>
            <w:tcW w:w="770" w:type="dxa"/>
            <w:noWrap w:val="0"/>
            <w:vAlign w:val="center"/>
          </w:tcPr>
          <w:p>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p>
        </w:tc>
      </w:tr>
    </w:tbl>
    <w:p>
      <w:pPr>
        <w:widowControl w:val="0"/>
        <w:kinsoku/>
        <w:autoSpaceDE/>
        <w:autoSpaceDN/>
        <w:adjustRightInd/>
        <w:spacing w:line="480" w:lineRule="auto"/>
        <w:jc w:val="both"/>
        <w:textAlignment w:val="auto"/>
        <w:outlineLvl w:val="0"/>
        <w:sectPr>
          <w:pgSz w:w="16838" w:h="11906" w:orient="landscape"/>
          <w:pgMar w:top="2098" w:right="1247" w:bottom="1417" w:left="1587" w:header="1361" w:footer="992" w:gutter="0"/>
          <w:paperSrc/>
          <w:pgNumType w:fmt="numberInDash"/>
          <w:cols w:space="0" w:num="1"/>
          <w:rtlGutter w:val="0"/>
          <w:docGrid w:type="lines" w:linePitch="312" w:charSpace="0"/>
        </w:sectPr>
      </w:pPr>
      <w:r>
        <w:rPr>
          <w:rFonts w:ascii="Times New Roman" w:hAnsi="Times New Roman" w:eastAsia="仿宋_GB2312" w:cs="Times New Roman"/>
          <w:snapToGrid/>
          <w:kern w:val="2"/>
          <w:sz w:val="24"/>
          <w:szCs w:val="24"/>
        </w:rPr>
        <w:t>注：绿色工厂必须满足各项必选要求，可选要求按照受评工厂满足程度在0分到满分中取值。</w:t>
      </w:r>
      <w:bookmarkStart w:id="0" w:name="_GoBack"/>
      <w:bookmarkEnd w:id="0"/>
    </w:p>
    <w:p/>
    <w:sectPr>
      <w:pgSz w:w="16838" w:h="11906" w:orient="landscape"/>
      <w:pgMar w:top="1587" w:right="2098" w:bottom="1247" w:left="1417" w:header="136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鼎CS仿宋体">
    <w:altName w:val="方正仿宋_GBK"/>
    <w:panose1 w:val="02010609010101010101"/>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2010601030101010101"/>
    <w:charset w:val="00"/>
    <w:family w:val="auto"/>
    <w:pitch w:val="default"/>
    <w:sig w:usb0="00000000" w:usb1="00000000" w:usb2="00000010" w:usb3="00000000" w:csb0="00040000" w:csb1="00000000"/>
  </w:font>
  <w:font w:name="方正大标宋简体">
    <w:altName w:val="宋体"/>
    <w:panose1 w:val="02010601030101010101"/>
    <w:charset w:val="00"/>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5B86C39"/>
    <w:rsid w:val="4A19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
    <w:name w:val="List Paragraph"/>
    <w:basedOn w:val="1"/>
    <w:qFormat/>
    <w:uiPriority w:val="34"/>
    <w:pPr>
      <w:widowControl/>
      <w:spacing w:before="100" w:beforeAutospacing="1" w:after="100" w:afterAutospacing="1"/>
      <w:jc w:val="left"/>
    </w:pPr>
    <w:rPr>
      <w:rFonts w:ascii="宋体" w:hAnsi="宋体" w:eastAsia="宋体" w:cs="宋体"/>
      <w:kern w:val="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greatwall</cp:lastModifiedBy>
  <dcterms:modified xsi:type="dcterms:W3CDTF">2023-12-28T10:16:20Z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