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附件4</w:t>
      </w:r>
    </w:p>
    <w:p>
      <w:pPr>
        <w:spacing w:before="0" w:line="520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5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pacing w:val="5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10"/>
          <w:sz w:val="40"/>
          <w:szCs w:val="40"/>
        </w:rPr>
        <w:t>年湖南省绿</w:t>
      </w:r>
      <w:r>
        <w:rPr>
          <w:rFonts w:hint="default" w:ascii="Times New Roman" w:hAnsi="Times New Roman" w:eastAsia="方正小标宋简体" w:cs="Times New Roman"/>
          <w:spacing w:val="9"/>
          <w:sz w:val="40"/>
          <w:szCs w:val="40"/>
        </w:rPr>
        <w:t>色制造</w:t>
      </w:r>
      <w:r>
        <w:rPr>
          <w:rFonts w:hint="eastAsia" w:ascii="Times New Roman" w:hAnsi="Times New Roman" w:eastAsia="方正小标宋简体" w:cs="Times New Roman"/>
          <w:spacing w:val="9"/>
          <w:sz w:val="40"/>
          <w:szCs w:val="40"/>
          <w:lang w:eastAsia="zh-CN"/>
        </w:rPr>
        <w:t>名单复核</w:t>
      </w:r>
      <w:r>
        <w:rPr>
          <w:rFonts w:hint="default" w:ascii="Times New Roman" w:hAnsi="Times New Roman" w:eastAsia="方正小标宋简体" w:cs="Times New Roman"/>
          <w:spacing w:val="9"/>
          <w:sz w:val="40"/>
          <w:szCs w:val="40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80" w:lineRule="exact"/>
        <w:ind w:firstLine="100" w:firstLineChars="100"/>
        <w:textAlignment w:val="auto"/>
        <w:rPr>
          <w:rFonts w:hint="eastAsia" w:ascii="Times New Roman" w:hAnsi="Times New Roman" w:eastAsia="仿宋" w:cs="Times New Roman"/>
          <w:b/>
          <w:bCs/>
          <w:sz w:val="10"/>
          <w:szCs w:val="10"/>
          <w:lang w:eastAsia="zh-CN"/>
        </w:rPr>
      </w:pPr>
    </w:p>
    <w:p>
      <w:pPr>
        <w:spacing w:before="0" w:line="520" w:lineRule="exact"/>
        <w:ind w:firstLine="280" w:firstLineChars="100"/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报送</w:t>
      </w:r>
      <w:r>
        <w:rPr>
          <w:rFonts w:ascii="Times New Roman" w:hAnsi="Times New Roman" w:eastAsia="仿宋" w:cs="Times New Roman"/>
          <w:b w:val="0"/>
          <w:bCs w:val="0"/>
          <w:sz w:val="28"/>
          <w:szCs w:val="28"/>
        </w:rPr>
        <w:t>单位（盖章</w:t>
      </w:r>
      <w:r>
        <w:rPr>
          <w:rFonts w:ascii="Times New Roman" w:hAnsi="Times New Roman" w:eastAsia="仿宋" w:cs="Times New Roman"/>
          <w:b w:val="0"/>
          <w:bCs w:val="0"/>
          <w:spacing w:val="-62"/>
          <w:sz w:val="28"/>
          <w:szCs w:val="28"/>
        </w:rPr>
        <w:t>）：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lang w:val="en-US" w:eastAsia="zh-CN"/>
        </w:rPr>
        <w:t xml:space="preserve">                                                                    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spacing w:val="-62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 w:val="0"/>
          <w:bCs w:val="0"/>
          <w:spacing w:val="-62"/>
          <w:sz w:val="28"/>
          <w:szCs w:val="28"/>
          <w:lang w:val="en-US" w:eastAsia="zh-CN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spacing w:val="-62"/>
          <w:sz w:val="28"/>
          <w:szCs w:val="28"/>
          <w:lang w:val="en-US" w:eastAsia="zh-CN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none"/>
          <w:lang w:val="en-US" w:eastAsia="zh-CN"/>
        </w:rPr>
        <w:t xml:space="preserve"> 年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pacing w:val="-62"/>
          <w:sz w:val="28"/>
          <w:szCs w:val="28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20" w:lineRule="exact"/>
        <w:ind w:firstLine="394" w:firstLineChars="200"/>
        <w:jc w:val="both"/>
        <w:textAlignment w:val="baseline"/>
        <w:rPr>
          <w:rFonts w:hint="default" w:ascii="Times New Roman" w:hAnsi="Times New Roman" w:eastAsia="仿宋" w:cs="Times New Roman"/>
          <w:b/>
          <w:bCs/>
          <w:spacing w:val="-6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-62"/>
          <w:sz w:val="32"/>
          <w:szCs w:val="32"/>
          <w:lang w:val="en-US" w:eastAsia="zh-CN"/>
        </w:rPr>
        <w:t xml:space="preserve">一、 </w:t>
      </w:r>
      <w:r>
        <w:rPr>
          <w:rFonts w:hint="default" w:ascii="Times New Roman" w:hAnsi="Times New Roman" w:eastAsia="仿宋" w:cs="Times New Roman"/>
          <w:b/>
          <w:bCs/>
          <w:color w:val="auto"/>
          <w:sz w:val="31"/>
          <w:szCs w:val="31"/>
          <w:lang w:val="en-US" w:eastAsia="zh-CN"/>
        </w:rPr>
        <w:t>绿色工厂、绿色供应链管理示范企业</w:t>
      </w:r>
      <w:r>
        <w:rPr>
          <w:rFonts w:hint="default" w:ascii="Times New Roman" w:hAnsi="Times New Roman" w:eastAsia="仿宋" w:cs="Times New Roman"/>
          <w:b/>
          <w:bCs/>
          <w:spacing w:val="-6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13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623"/>
        <w:gridCol w:w="1167"/>
        <w:gridCol w:w="1029"/>
        <w:gridCol w:w="1061"/>
        <w:gridCol w:w="1735"/>
        <w:gridCol w:w="2542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序号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企业名称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获评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类型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获评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级别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所属行业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产品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2021年主营业务收入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1"/>
                <w:szCs w:val="31"/>
                <w:lang w:val="en-US" w:eastAsia="zh-CN"/>
              </w:rPr>
              <w:t>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2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3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2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20" w:lineRule="auto"/>
              <w:textAlignment w:val="auto"/>
              <w:rPr>
                <w:rFonts w:ascii="Times New Roman" w:hAnsi="Times New Roman" w:eastAsia="仿宋" w:cs="Times New Roman"/>
                <w:spacing w:val="-62"/>
                <w:sz w:val="31"/>
                <w:szCs w:val="3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00" w:lineRule="exact"/>
        <w:ind w:firstLine="311" w:firstLineChars="100"/>
        <w:jc w:val="both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1"/>
          <w:szCs w:val="31"/>
          <w:lang w:val="en-US" w:eastAsia="zh-CN"/>
        </w:rPr>
        <w:t>二、绿色园区</w:t>
      </w:r>
    </w:p>
    <w:tbl>
      <w:tblPr>
        <w:tblStyle w:val="6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76"/>
        <w:gridCol w:w="1168"/>
        <w:gridCol w:w="1200"/>
        <w:gridCol w:w="2255"/>
        <w:gridCol w:w="232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序号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园区名称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360" w:lineRule="exact"/>
              <w:ind w:firstLine="0"/>
              <w:jc w:val="center"/>
              <w:textAlignment w:val="baseline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获评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主导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产业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line="36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园区已建成面积（平方公里）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园区工业总产值（亿元）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line="360" w:lineRule="exact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  <w:t>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59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1"/>
                <w:szCs w:val="31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59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4076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widowControl w:val="0"/>
              <w:spacing w:before="101" w:line="222" w:lineRule="auto"/>
              <w:rPr>
                <w:rFonts w:ascii="Times New Roman" w:hAnsi="Times New Roman" w:eastAsia="仿宋" w:cs="Times New Roman"/>
                <w:color w:val="auto"/>
                <w:spacing w:val="-62"/>
                <w:sz w:val="31"/>
                <w:szCs w:val="31"/>
                <w:vertAlign w:val="baseline"/>
              </w:rPr>
            </w:pPr>
          </w:p>
        </w:tc>
      </w:tr>
    </w:tbl>
    <w:p>
      <w:pPr>
        <w:widowControl w:val="0"/>
        <w:kinsoku/>
        <w:overflowPunct w:val="0"/>
        <w:spacing w:line="360" w:lineRule="exact"/>
        <w:ind w:firstLine="240" w:firstLineChars="100"/>
        <w:jc w:val="both"/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注</w:t>
      </w:r>
      <w:r>
        <w:rPr>
          <w:rFonts w:hint="default" w:ascii="Times New Roman" w:hAnsi="Times New Roman" w:eastAsia="仿宋" w:cs="Times New Roman"/>
          <w:color w:val="auto"/>
          <w:spacing w:val="-1"/>
          <w:sz w:val="24"/>
          <w:szCs w:val="24"/>
        </w:rPr>
        <w:t>：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1、此表由市州工信局、省直管试点县市工信局填写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  <w:lang w:eastAsia="zh-CN"/>
        </w:rPr>
        <w:t>获评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</w:rPr>
        <w:t>类型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pacing w:val="6"/>
          <w:sz w:val="24"/>
          <w:szCs w:val="24"/>
        </w:rPr>
        <w:t>是指绿色工厂</w:t>
      </w:r>
      <w:r>
        <w:rPr>
          <w:rFonts w:hint="eastAsia" w:ascii="Times New Roman" w:hAnsi="Times New Roman" w:eastAsia="仿宋" w:cs="Times New Roman"/>
          <w:color w:val="auto"/>
          <w:spacing w:val="6"/>
          <w:sz w:val="24"/>
          <w:szCs w:val="24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color w:val="auto"/>
          <w:spacing w:val="6"/>
          <w:sz w:val="24"/>
          <w:szCs w:val="24"/>
          <w:lang w:val="en-US" w:eastAsia="zh-CN"/>
        </w:rPr>
        <w:t>绿色供应链管理示范企业。</w:t>
      </w:r>
      <w:r>
        <w:rPr>
          <w:rFonts w:hint="eastAsia" w:ascii="Times New Roman" w:hAnsi="Times New Roman" w:eastAsia="仿宋" w:cs="Times New Roman"/>
          <w:color w:val="auto"/>
          <w:spacing w:val="6"/>
          <w:sz w:val="24"/>
          <w:szCs w:val="24"/>
          <w:lang w:val="en-US" w:eastAsia="zh-CN"/>
        </w:rPr>
        <w:t>3、获评及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  <w:lang w:val="en-US" w:eastAsia="zh-CN"/>
        </w:rPr>
        <w:t>别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  <w:lang w:val="en-US" w:eastAsia="zh-CN"/>
        </w:rPr>
        <w:t>。是指国家级或省级。4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6"/>
          <w:sz w:val="24"/>
          <w:szCs w:val="24"/>
          <w:lang w:val="en-US" w:eastAsia="zh-CN"/>
        </w:rPr>
        <w:t>、所属行业请按“有色金属、冶金、建材、化工、机械、汽车、电子、轻工、食品、生物医药、其它”进行填写 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313189"/>
    <w:rsid w:val="4A1947CF"/>
    <w:rsid w:val="6AFD2FFE"/>
    <w:rsid w:val="783ABFAA"/>
    <w:rsid w:val="E55EF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index 7"/>
    <w:basedOn w:val="1"/>
    <w:next w:val="1"/>
    <w:qFormat/>
    <w:uiPriority w:val="0"/>
    <w:pPr>
      <w:ind w:left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逗你乐个够</cp:lastModifiedBy>
  <cp:lastPrinted>2022-05-06T18:50:00Z</cp:lastPrinted>
  <dcterms:modified xsi:type="dcterms:W3CDTF">2022-05-27T15:42:47Z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