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shd w:val="clear" w:color="auto" w:fill="auto"/>
        <w:spacing w:after="0" w:line="560" w:lineRule="exact"/>
        <w:jc w:val="center"/>
        <w:rPr>
          <w:rFonts w:hint="default" w:ascii="方正小标宋简体" w:hAnsi="方正小标宋简体" w:eastAsia="方正小标宋简体" w:cs="方正小标宋简体"/>
          <w:color w:val="auto"/>
          <w:sz w:val="44"/>
          <w:szCs w:val="44"/>
          <w:lang w:val="en-US" w:eastAsia="zh-CN"/>
        </w:rPr>
      </w:pPr>
    </w:p>
    <w:p>
      <w:pPr>
        <w:spacing w:after="0" w:line="560" w:lineRule="exact"/>
        <w:jc w:val="center"/>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lang w:eastAsia="zh-CN"/>
        </w:rPr>
        <w:t>省工信厅</w:t>
      </w:r>
      <w:r>
        <w:rPr>
          <w:rFonts w:hint="eastAsia" w:ascii="方正小标宋简体" w:hAnsi="方正小标宋简体" w:eastAsia="方正小标宋简体" w:cs="方正小标宋简体"/>
          <w:color w:val="auto"/>
          <w:sz w:val="44"/>
          <w:szCs w:val="44"/>
        </w:rPr>
        <w:t>“谁执法谁普法”</w:t>
      </w:r>
      <w:r>
        <w:rPr>
          <w:rFonts w:hint="eastAsia" w:ascii="方正小标宋简体" w:hAnsi="方正小标宋简体" w:eastAsia="方正小标宋简体" w:cs="方正小标宋简体"/>
          <w:color w:val="auto"/>
          <w:sz w:val="44"/>
          <w:szCs w:val="44"/>
          <w:lang w:eastAsia="zh-CN"/>
        </w:rPr>
        <w:t>任务清单</w:t>
      </w:r>
    </w:p>
    <w:bookmarkEnd w:id="0"/>
    <w:tbl>
      <w:tblPr>
        <w:tblStyle w:val="4"/>
        <w:tblpPr w:leftFromText="180" w:rightFromText="180" w:vertAnchor="text" w:horzAnchor="page" w:tblpX="2152" w:tblpY="284"/>
        <w:tblOverlap w:val="never"/>
        <w:tblW w:w="12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77"/>
        <w:gridCol w:w="1682"/>
        <w:gridCol w:w="1522"/>
        <w:gridCol w:w="4562"/>
        <w:gridCol w:w="120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trPr>
        <w:tc>
          <w:tcPr>
            <w:tcW w:w="1277" w:type="dxa"/>
            <w:vAlign w:val="center"/>
          </w:tcPr>
          <w:p>
            <w:pPr>
              <w:spacing w:after="0" w:line="560" w:lineRule="exact"/>
              <w:jc w:val="center"/>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项目指标</w:t>
            </w:r>
          </w:p>
        </w:tc>
        <w:tc>
          <w:tcPr>
            <w:tcW w:w="577" w:type="dxa"/>
            <w:vAlign w:val="center"/>
          </w:tcPr>
          <w:p>
            <w:pPr>
              <w:spacing w:after="0" w:line="560" w:lineRule="exact"/>
              <w:jc w:val="center"/>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序号</w:t>
            </w:r>
          </w:p>
        </w:tc>
        <w:tc>
          <w:tcPr>
            <w:tcW w:w="1682" w:type="dxa"/>
            <w:vAlign w:val="center"/>
          </w:tcPr>
          <w:p>
            <w:pPr>
              <w:spacing w:after="0" w:line="560" w:lineRule="exact"/>
              <w:jc w:val="center"/>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普法责任</w:t>
            </w:r>
          </w:p>
        </w:tc>
        <w:tc>
          <w:tcPr>
            <w:tcW w:w="1522" w:type="dxa"/>
            <w:vAlign w:val="center"/>
          </w:tcPr>
          <w:p>
            <w:pPr>
              <w:spacing w:after="0" w:line="560" w:lineRule="exact"/>
              <w:jc w:val="center"/>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普法对象</w:t>
            </w:r>
          </w:p>
        </w:tc>
        <w:tc>
          <w:tcPr>
            <w:tcW w:w="4562" w:type="dxa"/>
            <w:vAlign w:val="center"/>
          </w:tcPr>
          <w:p>
            <w:pPr>
              <w:spacing w:after="0" w:line="560" w:lineRule="exact"/>
              <w:jc w:val="center"/>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普法目标</w:t>
            </w:r>
          </w:p>
        </w:tc>
        <w:tc>
          <w:tcPr>
            <w:tcW w:w="1204" w:type="dxa"/>
            <w:vAlign w:val="center"/>
          </w:tcPr>
          <w:p>
            <w:pPr>
              <w:spacing w:after="0" w:line="560" w:lineRule="exact"/>
              <w:jc w:val="center"/>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责任领导</w:t>
            </w:r>
          </w:p>
        </w:tc>
        <w:tc>
          <w:tcPr>
            <w:tcW w:w="1606" w:type="dxa"/>
            <w:vAlign w:val="center"/>
          </w:tcPr>
          <w:p>
            <w:pPr>
              <w:spacing w:after="0" w:line="560" w:lineRule="exact"/>
              <w:jc w:val="center"/>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3" w:hRule="atLeast"/>
        </w:trPr>
        <w:tc>
          <w:tcPr>
            <w:tcW w:w="1277"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公共指标</w:t>
            </w:r>
          </w:p>
        </w:tc>
        <w:tc>
          <w:tcPr>
            <w:tcW w:w="57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center"/>
              <w:textAlignment w:val="auto"/>
              <w:rPr>
                <w:rFonts w:hint="eastAsia"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1</w:t>
            </w:r>
          </w:p>
        </w:tc>
        <w:tc>
          <w:tcPr>
            <w:tcW w:w="16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深入学习宣传习近平法治思想</w:t>
            </w:r>
          </w:p>
        </w:tc>
        <w:tc>
          <w:tcPr>
            <w:tcW w:w="1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领导干部、系统内国家工作人员</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将相关内容纳入</w:t>
            </w:r>
            <w:r>
              <w:rPr>
                <w:rFonts w:hint="default" w:ascii="仿宋_GB2312" w:hAnsi="仿宋" w:eastAsia="仿宋_GB2312" w:cs="宋体"/>
                <w:sz w:val="24"/>
                <w:szCs w:val="24"/>
                <w:vertAlign w:val="baseline"/>
                <w:lang w:val="en-US" w:eastAsia="zh-CN"/>
              </w:rPr>
              <w:t>年</w:t>
            </w:r>
            <w:r>
              <w:rPr>
                <w:rFonts w:hint="eastAsia" w:ascii="仿宋_GB2312" w:hAnsi="仿宋" w:eastAsia="仿宋_GB2312" w:cs="宋体"/>
                <w:sz w:val="24"/>
                <w:szCs w:val="24"/>
                <w:vertAlign w:val="baseline"/>
                <w:lang w:val="en-US" w:eastAsia="zh-CN"/>
              </w:rPr>
              <w:t>内</w:t>
            </w:r>
            <w:r>
              <w:rPr>
                <w:rFonts w:hint="default" w:ascii="仿宋_GB2312" w:hAnsi="仿宋" w:eastAsia="仿宋_GB2312" w:cs="宋体"/>
                <w:sz w:val="24"/>
                <w:szCs w:val="24"/>
                <w:vertAlign w:val="baseline"/>
                <w:lang w:val="en-US" w:eastAsia="zh-CN"/>
              </w:rPr>
              <w:t>党组中心组集中学法</w:t>
            </w:r>
            <w:r>
              <w:rPr>
                <w:rFonts w:hint="eastAsia" w:ascii="仿宋_GB2312" w:hAnsi="仿宋" w:eastAsia="仿宋_GB2312" w:cs="宋体"/>
                <w:sz w:val="24"/>
                <w:szCs w:val="24"/>
                <w:vertAlign w:val="baseline"/>
                <w:lang w:val="en-US" w:eastAsia="zh-CN"/>
              </w:rPr>
              <w:t>内容和本单位、本系统法治培训内容，开展宣讲不少于1次。</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杨亲鹏</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法规处</w:t>
            </w:r>
            <w:r>
              <w:rPr>
                <w:rFonts w:hint="eastAsia" w:ascii="仿宋_GB2312" w:hAnsi="仿宋" w:eastAsia="仿宋_GB2312" w:cs="宋体"/>
                <w:sz w:val="24"/>
                <w:szCs w:val="24"/>
                <w:vertAlign w:val="baseline"/>
                <w:lang w:val="en-US" w:eastAsia="zh-CN"/>
              </w:rPr>
              <w:t xml:space="preserve">        </w:t>
            </w:r>
            <w:r>
              <w:rPr>
                <w:rFonts w:hint="eastAsia" w:ascii="仿宋_GB2312" w:hAnsi="仿宋" w:eastAsia="仿宋_GB2312" w:cs="宋体"/>
                <w:sz w:val="24"/>
                <w:szCs w:val="24"/>
                <w:vertAlign w:val="baseline"/>
                <w:lang w:eastAsia="zh-CN"/>
              </w:rPr>
              <w:t>机关党委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center"/>
              <w:textAlignment w:val="auto"/>
              <w:rPr>
                <w:rFonts w:hint="eastAsia"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2</w:t>
            </w:r>
          </w:p>
        </w:tc>
        <w:tc>
          <w:tcPr>
            <w:tcW w:w="16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突出《宪法》宣传</w:t>
            </w:r>
          </w:p>
        </w:tc>
        <w:tc>
          <w:tcPr>
            <w:tcW w:w="1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系统内国家工作人员、社会群众</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eastAsia="zh-CN"/>
              </w:rPr>
              <w:t>开展宪法进机关活动，开展日常宪法学习宣传；集中组织好本系统“宪法宣传周”活动。</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r>
              <w:rPr>
                <w:rFonts w:hint="eastAsia" w:ascii="仿宋_GB2312" w:hAnsi="仿宋" w:eastAsia="仿宋_GB2312" w:cs="宋体"/>
                <w:sz w:val="24"/>
                <w:szCs w:val="24"/>
                <w:vertAlign w:val="baseline"/>
                <w:lang w:eastAsia="zh-CN"/>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3</w:t>
            </w:r>
          </w:p>
        </w:tc>
        <w:tc>
          <w:tcPr>
            <w:tcW w:w="16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落实党组理论学习中心组学法制度</w:t>
            </w:r>
          </w:p>
        </w:tc>
        <w:tc>
          <w:tcPr>
            <w:tcW w:w="1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党组理论学习中心组成员</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eastAsia="zh-CN"/>
              </w:rPr>
              <w:t>年内组织学法不少于</w:t>
            </w:r>
            <w:r>
              <w:rPr>
                <w:rFonts w:hint="eastAsia" w:ascii="仿宋_GB2312" w:hAnsi="仿宋" w:eastAsia="仿宋_GB2312" w:cs="宋体"/>
                <w:sz w:val="24"/>
                <w:szCs w:val="24"/>
                <w:vertAlign w:val="baseline"/>
                <w:lang w:val="en-US" w:eastAsia="zh-CN"/>
              </w:rPr>
              <w:t>2次。</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杨亲鹏</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法规处</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机关党委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 w:eastAsia="zh-CN"/>
              </w:rPr>
            </w:pPr>
            <w:r>
              <w:rPr>
                <w:rFonts w:hint="default" w:ascii="仿宋_GB2312" w:hAnsi="仿宋" w:eastAsia="仿宋_GB2312" w:cs="宋体"/>
                <w:sz w:val="24"/>
                <w:szCs w:val="24"/>
                <w:vertAlign w:val="baseline"/>
                <w:lang w:val="en" w:eastAsia="zh-CN"/>
              </w:rPr>
              <w:t>4</w:t>
            </w:r>
          </w:p>
        </w:tc>
        <w:tc>
          <w:tcPr>
            <w:tcW w:w="16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落实领导干部年终述法制度</w:t>
            </w:r>
          </w:p>
        </w:tc>
        <w:tc>
          <w:tcPr>
            <w:tcW w:w="1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领导干部</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eastAsia="zh-CN"/>
              </w:rPr>
              <w:t>在年度述职中加入述法内容。</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杨亲鹏</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 w:eastAsia="zh-CN"/>
              </w:rPr>
            </w:pPr>
            <w:r>
              <w:rPr>
                <w:rFonts w:hint="default" w:ascii="仿宋_GB2312" w:hAnsi="仿宋" w:eastAsia="仿宋_GB2312" w:cs="宋体"/>
                <w:sz w:val="24"/>
                <w:szCs w:val="24"/>
                <w:vertAlign w:val="baseline"/>
                <w:lang w:val="en" w:eastAsia="zh-CN"/>
              </w:rPr>
              <w:t>5</w:t>
            </w:r>
          </w:p>
        </w:tc>
        <w:tc>
          <w:tcPr>
            <w:tcW w:w="16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default" w:ascii="仿宋_GB2312" w:hAnsi="仿宋" w:eastAsia="仿宋_GB2312" w:cs="宋体"/>
                <w:color w:val="000000"/>
                <w:spacing w:val="0"/>
                <w:w w:val="100"/>
                <w:position w:val="0"/>
                <w:sz w:val="24"/>
                <w:szCs w:val="24"/>
                <w:shd w:val="clear" w:color="auto" w:fill="auto"/>
                <w:vertAlign w:val="baseline"/>
                <w:lang w:val="en" w:eastAsia="zh-CN" w:bidi="en-US"/>
              </w:rPr>
            </w:pPr>
            <w:r>
              <w:rPr>
                <w:rFonts w:hint="eastAsia" w:ascii="仿宋_GB2312" w:hAnsi="仿宋" w:eastAsia="仿宋_GB2312" w:cs="宋体"/>
                <w:sz w:val="24"/>
                <w:szCs w:val="24"/>
                <w:vertAlign w:val="baseline"/>
                <w:lang w:eastAsia="zh-CN"/>
              </w:rPr>
              <w:t>健全完善国家工作人员日常学法制度、法治培训制度、学法用法考核制度</w:t>
            </w:r>
          </w:p>
        </w:tc>
        <w:tc>
          <w:tcPr>
            <w:tcW w:w="1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国家工作人员</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t>每年至少举办一期法治专题培训班。组织做好</w:t>
            </w:r>
            <w:r>
              <w:rPr>
                <w:rFonts w:hint="default" w:ascii="仿宋_GB2312" w:hAnsi="仿宋" w:eastAsia="仿宋_GB2312" w:cs="宋体"/>
                <w:color w:val="000000"/>
                <w:spacing w:val="0"/>
                <w:w w:val="100"/>
                <w:position w:val="0"/>
                <w:sz w:val="24"/>
                <w:szCs w:val="24"/>
                <w:shd w:val="clear" w:color="auto" w:fill="auto"/>
                <w:vertAlign w:val="baseline"/>
                <w:lang w:val="en-US" w:eastAsia="zh-CN" w:bidi="en-US"/>
              </w:rPr>
              <w:t>本单位工作人员网上学法</w:t>
            </w:r>
            <w:r>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t>，年内</w:t>
            </w:r>
            <w:r>
              <w:rPr>
                <w:rFonts w:hint="default" w:ascii="仿宋_GB2312" w:hAnsi="仿宋" w:eastAsia="仿宋_GB2312" w:cs="宋体"/>
                <w:color w:val="000000"/>
                <w:spacing w:val="0"/>
                <w:w w:val="100"/>
                <w:position w:val="0"/>
                <w:sz w:val="24"/>
                <w:szCs w:val="24"/>
                <w:shd w:val="clear" w:color="auto" w:fill="auto"/>
                <w:vertAlign w:val="baseline"/>
                <w:lang w:val="en-US" w:eastAsia="zh-CN" w:bidi="en-US"/>
              </w:rPr>
              <w:t>课时达标率100%，应考人员参考率100%，合格率98%</w:t>
            </w:r>
            <w:r>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t>以上。按规定及时编辑、更新本系统国家工作人员年度学法相关专业法律法规学习读本和考试题库。</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5" w:hRule="atLeas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 w:eastAsia="zh-CN"/>
              </w:rPr>
            </w:pPr>
            <w:r>
              <w:rPr>
                <w:rFonts w:hint="default" w:ascii="仿宋_GB2312" w:hAnsi="仿宋" w:eastAsia="仿宋_GB2312" w:cs="宋体"/>
                <w:sz w:val="24"/>
                <w:szCs w:val="24"/>
                <w:vertAlign w:val="baseline"/>
                <w:lang w:val="en" w:eastAsia="zh-CN"/>
              </w:rPr>
              <w:t>6</w:t>
            </w:r>
          </w:p>
        </w:tc>
        <w:tc>
          <w:tcPr>
            <w:tcW w:w="16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落实国家工作人员旁听庭审制度</w:t>
            </w:r>
          </w:p>
        </w:tc>
        <w:tc>
          <w:tcPr>
            <w:tcW w:w="1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国家工作人员</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组织网上集中观看或是现场集中旁听庭审，年内不少于</w:t>
            </w:r>
            <w:r>
              <w:rPr>
                <w:rFonts w:hint="eastAsia" w:ascii="仿宋_GB2312" w:hAnsi="仿宋" w:eastAsia="仿宋_GB2312" w:cs="宋体"/>
                <w:sz w:val="24"/>
                <w:szCs w:val="24"/>
                <w:vertAlign w:val="baseline"/>
                <w:lang w:val="en-US" w:eastAsia="zh-CN"/>
              </w:rPr>
              <w:t>1次。</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0" w:hRule="atLeas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7</w:t>
            </w:r>
          </w:p>
        </w:tc>
        <w:tc>
          <w:tcPr>
            <w:tcW w:w="16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法治阵地建设</w:t>
            </w:r>
          </w:p>
        </w:tc>
        <w:tc>
          <w:tcPr>
            <w:tcW w:w="1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国家工作人员、服务和管理对象</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val="en-US" w:eastAsia="zh-CN"/>
              </w:rPr>
              <w:t>在部门单位门户网站、自办刊物、微信公众号开辟法治宣传专栏（专题）；设置“以案释法”栏目，定期发布普法宣传内容和“以案释法”案例，年内报送不少于3个典型案例。</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default" w:ascii="仿宋_GB2312" w:hAnsi="仿宋" w:eastAsia="仿宋_GB2312"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t xml:space="preserve">法规处       </w:t>
            </w:r>
          </w:p>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5" w:hRule="atLeas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8</w:t>
            </w:r>
          </w:p>
        </w:tc>
        <w:tc>
          <w:tcPr>
            <w:tcW w:w="16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送法下乡</w:t>
            </w:r>
          </w:p>
        </w:tc>
        <w:tc>
          <w:tcPr>
            <w:tcW w:w="1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社会群众</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加强对本单位乡村振兴联系点的指导，有针对性地宣传普及本部门与群众生产生活和乡村治理密切相关的法律法规，年内开展“送法下乡”活动不少于1次。</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eastAsia="zh-CN"/>
              </w:rPr>
              <w:t>法规处</w:t>
            </w:r>
            <w:r>
              <w:rPr>
                <w:rFonts w:hint="eastAsia" w:ascii="仿宋_GB2312" w:hAnsi="仿宋" w:eastAsia="仿宋_GB2312" w:cs="宋体"/>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default" w:ascii="仿宋_GB2312" w:hAnsi="仿宋" w:eastAsia="仿宋_GB2312" w:cs="宋体"/>
                <w:color w:val="000000"/>
                <w:spacing w:val="0"/>
                <w:w w:val="100"/>
                <w:position w:val="0"/>
                <w:sz w:val="24"/>
                <w:szCs w:val="24"/>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5" w:hRule="atLeas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9</w:t>
            </w:r>
          </w:p>
        </w:tc>
        <w:tc>
          <w:tcPr>
            <w:tcW w:w="16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制定年度普法任务清单</w:t>
            </w:r>
          </w:p>
        </w:tc>
        <w:tc>
          <w:tcPr>
            <w:tcW w:w="1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国家工作人员</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认真贯彻落实全省“八五”普法规划和《湖南省法治社会建设实施方案（2021-2025年）》。</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r>
              <w:rPr>
                <w:rFonts w:hint="eastAsia" w:ascii="仿宋_GB2312" w:hAnsi="仿宋" w:eastAsia="仿宋_GB2312" w:cs="宋体"/>
                <w:sz w:val="24"/>
                <w:szCs w:val="24"/>
                <w:vertAlign w:val="baseline"/>
                <w:lang w:eastAsia="zh-CN"/>
              </w:rPr>
              <w:t>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5" w:hRule="atLeast"/>
        </w:trPr>
        <w:tc>
          <w:tcPr>
            <w:tcW w:w="127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10</w:t>
            </w:r>
          </w:p>
        </w:tc>
        <w:tc>
          <w:tcPr>
            <w:tcW w:w="16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val="en-US" w:eastAsia="zh-CN"/>
              </w:rPr>
              <w:t>制定本系统年度普法工作计划</w:t>
            </w:r>
          </w:p>
        </w:tc>
        <w:tc>
          <w:tcPr>
            <w:tcW w:w="1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系统内国家工作人员</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制定本系统年度普法工作计划，指导督促全系统做好普法工作。</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5" w:hRule="exact"/>
        </w:trPr>
        <w:tc>
          <w:tcPr>
            <w:tcW w:w="1277"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个性指标</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1</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lang w:eastAsia="zh-CN"/>
              </w:rPr>
            </w:pPr>
          </w:p>
          <w:p>
            <w:pPr>
              <w:pStyle w:val="2"/>
              <w:rPr>
                <w:rFonts w:hint="eastAsia"/>
                <w:lang w:eastAsia="zh-CN"/>
              </w:rPr>
            </w:pPr>
            <w:r>
              <w:rPr>
                <w:rFonts w:hint="eastAsia" w:ascii="方正仿宋_GBK" w:hAnsi="方正仿宋_GBK" w:eastAsia="方正仿宋_GBK" w:cs="方正仿宋_GBK"/>
                <w:sz w:val="24"/>
                <w:szCs w:val="24"/>
                <w:lang w:eastAsia="zh-CN"/>
              </w:rPr>
              <w:t>《湖南省先进制造业促进条例》</w:t>
            </w:r>
          </w:p>
        </w:tc>
        <w:tc>
          <w:tcPr>
            <w:tcW w:w="152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r>
              <w:rPr>
                <w:rFonts w:hint="eastAsia" w:ascii="仿宋_GB2312" w:hAnsi="仿宋" w:eastAsia="仿宋_GB2312" w:cs="宋体"/>
                <w:sz w:val="24"/>
                <w:szCs w:val="24"/>
                <w:vertAlign w:val="baseline"/>
                <w:lang w:eastAsia="zh-CN"/>
              </w:rPr>
              <w:t>系统内国家工作人员、服务和管理对象</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方正仿宋_GBK" w:cs="宋体"/>
                <w:sz w:val="24"/>
                <w:szCs w:val="24"/>
                <w:vertAlign w:val="baseline"/>
                <w:lang w:eastAsia="zh-CN"/>
              </w:rPr>
            </w:pPr>
            <w:r>
              <w:rPr>
                <w:rFonts w:hint="eastAsia" w:ascii="方正仿宋_GBK" w:eastAsia="方正仿宋_GBK"/>
                <w:bCs/>
                <w:sz w:val="24"/>
                <w:szCs w:val="24"/>
              </w:rPr>
              <w:t>指导、督促、检查各市州工信部门开展</w:t>
            </w:r>
            <w:r>
              <w:rPr>
                <w:rFonts w:hint="eastAsia" w:ascii="方正仿宋_GBK" w:eastAsia="方正仿宋_GBK"/>
                <w:bCs/>
                <w:sz w:val="24"/>
                <w:szCs w:val="24"/>
                <w:lang w:eastAsia="zh-CN"/>
              </w:rPr>
              <w:t>《湖南省先进制造业促进条例》</w:t>
            </w:r>
            <w:r>
              <w:rPr>
                <w:rFonts w:hint="eastAsia" w:ascii="方正仿宋_GBK" w:eastAsia="方正仿宋_GBK"/>
                <w:bCs/>
                <w:sz w:val="24"/>
                <w:szCs w:val="24"/>
              </w:rPr>
              <w:t>普法工作</w:t>
            </w:r>
            <w:r>
              <w:rPr>
                <w:rFonts w:hint="eastAsia" w:ascii="方正仿宋_GBK" w:eastAsia="方正仿宋_GBK"/>
                <w:bCs/>
                <w:sz w:val="24"/>
                <w:szCs w:val="24"/>
                <w:lang w:eastAsia="zh-CN"/>
              </w:rPr>
              <w:t>。</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5" w:hRule="exac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center"/>
              <w:textAlignment w:val="auto"/>
              <w:rPr>
                <w:rFonts w:hint="default"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t>2</w:t>
            </w:r>
          </w:p>
        </w:tc>
        <w:tc>
          <w:tcPr>
            <w:tcW w:w="1682" w:type="dxa"/>
            <w:vAlign w:val="center"/>
          </w:tcPr>
          <w:p>
            <w:pPr>
              <w:pStyle w:val="2"/>
              <w:ind w:left="0" w:leftChars="0" w:right="0" w:rightChars="0" w:firstLine="0" w:firstLineChars="0"/>
              <w:rPr>
                <w:rFonts w:hint="eastAsia" w:ascii="Calibri" w:hAnsi="Calibri" w:eastAsia="Times New Roman" w:cs="Times New Roman"/>
                <w:color w:val="000000"/>
                <w:spacing w:val="0"/>
                <w:w w:val="100"/>
                <w:position w:val="0"/>
                <w:sz w:val="18"/>
                <w:szCs w:val="18"/>
                <w:shd w:val="clear" w:color="auto" w:fill="auto"/>
                <w:lang w:val="en-US" w:eastAsia="zh-CN" w:bidi="en-US"/>
              </w:rPr>
            </w:pPr>
            <w:r>
              <w:rPr>
                <w:rFonts w:hint="eastAsia" w:ascii="仿宋_GB2312" w:hAnsi="仿宋" w:eastAsia="仿宋_GB2312" w:cs="宋体"/>
                <w:sz w:val="24"/>
                <w:szCs w:val="24"/>
                <w:vertAlign w:val="baseline"/>
                <w:lang w:val="en-US" w:eastAsia="zh-CN"/>
              </w:rPr>
              <w:t>中小企业促进法、湖南省实施《中华人民共和国中小企业促进法》办法</w:t>
            </w:r>
          </w:p>
        </w:tc>
        <w:tc>
          <w:tcPr>
            <w:tcW w:w="152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系统内国家工作人员、服务和管理对象</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240" w:leftChars="0" w:right="0" w:rightChars="0" w:hanging="240" w:hangingChars="100"/>
              <w:jc w:val="left"/>
              <w:textAlignment w:val="auto"/>
              <w:rPr>
                <w:rFonts w:hint="eastAsia" w:ascii="方正仿宋_GBK" w:eastAsia="方正仿宋_GBK"/>
                <w:bCs/>
                <w:sz w:val="24"/>
                <w:szCs w:val="24"/>
                <w:lang w:eastAsia="zh-CN"/>
              </w:rPr>
            </w:pPr>
            <w:r>
              <w:rPr>
                <w:rFonts w:hint="eastAsia" w:ascii="方正仿宋_GBK" w:eastAsia="方正仿宋_GBK"/>
                <w:bCs/>
                <w:sz w:val="24"/>
                <w:szCs w:val="24"/>
              </w:rPr>
              <w:t>指导、督促、检查各市州工信部门开展</w:t>
            </w:r>
            <w:r>
              <w:rPr>
                <w:rFonts w:hint="eastAsia" w:ascii="方正仿宋_GBK" w:eastAsia="方正仿宋_GBK"/>
                <w:bCs/>
                <w:sz w:val="24"/>
                <w:szCs w:val="24"/>
                <w:lang w:eastAsia="zh-CN"/>
              </w:rPr>
              <w:t>中</w:t>
            </w:r>
          </w:p>
          <w:p>
            <w:pPr>
              <w:keepNext w:val="0"/>
              <w:keepLines w:val="0"/>
              <w:pageBreakBefore w:val="0"/>
              <w:widowControl w:val="0"/>
              <w:kinsoku/>
              <w:wordWrap/>
              <w:overflowPunct/>
              <w:topLinePunct w:val="0"/>
              <w:autoSpaceDE/>
              <w:autoSpaceDN/>
              <w:bidi w:val="0"/>
              <w:adjustRightInd/>
              <w:snapToGrid/>
              <w:spacing w:after="0" w:line="320" w:lineRule="exact"/>
              <w:ind w:left="240" w:leftChars="0" w:right="0" w:rightChars="0" w:hanging="240" w:hangingChars="100"/>
              <w:jc w:val="left"/>
              <w:textAlignment w:val="auto"/>
              <w:rPr>
                <w:rFonts w:hint="eastAsia" w:ascii="方正仿宋_GBK" w:hAnsi="Times New Roman" w:eastAsia="方正仿宋_GBK" w:cs="Times New Roman"/>
                <w:bCs/>
                <w:color w:val="000000"/>
                <w:spacing w:val="0"/>
                <w:w w:val="100"/>
                <w:position w:val="0"/>
                <w:sz w:val="24"/>
                <w:szCs w:val="24"/>
                <w:shd w:val="clear" w:color="auto" w:fill="auto"/>
                <w:lang w:val="en-US" w:eastAsia="zh-CN" w:bidi="en-US"/>
              </w:rPr>
            </w:pPr>
            <w:r>
              <w:rPr>
                <w:rFonts w:hint="eastAsia" w:ascii="方正仿宋_GBK" w:eastAsia="方正仿宋_GBK"/>
                <w:bCs/>
                <w:sz w:val="24"/>
                <w:szCs w:val="24"/>
                <w:lang w:eastAsia="zh-CN"/>
              </w:rPr>
              <w:t>小企业“一法一办法”</w:t>
            </w:r>
            <w:r>
              <w:rPr>
                <w:rFonts w:hint="eastAsia" w:ascii="方正仿宋_GBK" w:eastAsia="方正仿宋_GBK"/>
                <w:bCs/>
                <w:sz w:val="24"/>
                <w:szCs w:val="24"/>
              </w:rPr>
              <w:t>普法工作</w:t>
            </w:r>
            <w:r>
              <w:rPr>
                <w:rFonts w:hint="eastAsia" w:ascii="方正仿宋_GBK" w:eastAsia="方正仿宋_GBK"/>
                <w:bCs/>
                <w:sz w:val="24"/>
                <w:szCs w:val="24"/>
                <w:lang w:eastAsia="zh-CN"/>
              </w:rPr>
              <w:t>。</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刘卫东</w:t>
            </w:r>
          </w:p>
        </w:tc>
        <w:tc>
          <w:tcPr>
            <w:tcW w:w="1606" w:type="dxa"/>
            <w:vAlign w:val="center"/>
          </w:tcPr>
          <w:p>
            <w:pPr>
              <w:keepNext w:val="0"/>
              <w:keepLines w:val="0"/>
              <w:pageBreakBefore w:val="0"/>
              <w:shd w:val="clear" w:color="auto" w:fill="auto"/>
              <w:kinsoku/>
              <w:wordWrap/>
              <w:overflowPunct/>
              <w:topLinePunct w:val="0"/>
              <w:autoSpaceDE/>
              <w:autoSpaceDN/>
              <w:bidi w:val="0"/>
              <w:adjustRightInd w:val="0"/>
              <w:snapToGrid w:val="0"/>
              <w:spacing w:line="320" w:lineRule="exact"/>
              <w:jc w:val="left"/>
              <w:textAlignment w:val="auto"/>
              <w:rPr>
                <w:rFonts w:hint="eastAsia" w:ascii="仿宋_GB2312" w:hAnsi="仿宋" w:eastAsia="仿宋_GB2312" w:cs="宋体"/>
                <w:sz w:val="24"/>
                <w:szCs w:val="24"/>
                <w:vertAlign w:val="baseline"/>
                <w:lang w:val="en" w:eastAsia="zh-CN"/>
              </w:rPr>
            </w:pPr>
            <w:r>
              <w:rPr>
                <w:rFonts w:hint="eastAsia" w:ascii="仿宋_GB2312" w:hAnsi="仿宋" w:eastAsia="仿宋_GB2312" w:cs="宋体"/>
                <w:sz w:val="24"/>
                <w:szCs w:val="24"/>
                <w:vertAlign w:val="baseline"/>
                <w:lang w:val="en" w:eastAsia="zh-CN"/>
              </w:rPr>
              <w:t>中小企业发展促进处</w:t>
            </w:r>
          </w:p>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left"/>
              <w:textAlignment w:val="auto"/>
              <w:rPr>
                <w:rFonts w:hint="eastAsia" w:ascii="仿宋_GB2312" w:hAnsi="黑体" w:eastAsia="仿宋_GB2312" w:cs="Times New Roman"/>
                <w:color w:val="000000"/>
                <w:spacing w:val="0"/>
                <w:w w:val="100"/>
                <w:position w:val="0"/>
                <w:sz w:val="24"/>
                <w:szCs w:val="24"/>
                <w:shd w:val="clear" w:color="auto" w:fill="auto"/>
                <w:lang w:val="en-US" w:eastAsia="zh-CN" w:bidi="en-US"/>
              </w:rPr>
            </w:pPr>
            <w:r>
              <w:rPr>
                <w:rFonts w:hint="eastAsia" w:ascii="仿宋_GB2312" w:hAnsi="仿宋" w:eastAsia="仿宋_GB2312" w:cs="宋体"/>
                <w:sz w:val="24"/>
                <w:szCs w:val="24"/>
                <w:vertAlign w:val="baseline"/>
                <w:lang w:val="en" w:eastAsia="zh-CN"/>
              </w:rPr>
              <w:t>中小企业服务指导处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5" w:hRule="exac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center"/>
              <w:textAlignment w:val="auto"/>
              <w:rPr>
                <w:rFonts w:hint="default"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t>3</w:t>
            </w:r>
          </w:p>
        </w:tc>
        <w:tc>
          <w:tcPr>
            <w:tcW w:w="1682" w:type="dxa"/>
            <w:vAlign w:val="center"/>
          </w:tcPr>
          <w:p>
            <w:pPr>
              <w:pStyle w:val="2"/>
              <w:ind w:left="0" w:leftChars="0" w:right="0" w:rightChars="0" w:firstLine="0" w:firstLineChars="0"/>
              <w:rPr>
                <w:rFonts w:hint="eastAsia" w:ascii="Calibri" w:hAnsi="Calibri" w:eastAsia="Times New Roman" w:cs="Times New Roman"/>
                <w:color w:val="000000"/>
                <w:spacing w:val="0"/>
                <w:w w:val="100"/>
                <w:position w:val="0"/>
                <w:sz w:val="18"/>
                <w:szCs w:val="18"/>
                <w:shd w:val="clear" w:color="auto" w:fill="auto"/>
                <w:lang w:val="en-US" w:eastAsia="zh-CN" w:bidi="en-US"/>
              </w:rPr>
            </w:pPr>
            <w:r>
              <w:rPr>
                <w:rFonts w:hint="eastAsia" w:ascii="方正仿宋_GBK" w:eastAsia="方正仿宋_GBK"/>
                <w:bCs/>
                <w:sz w:val="24"/>
                <w:szCs w:val="24"/>
              </w:rPr>
              <w:t>《中华人民共和国无线电管理条例》</w:t>
            </w:r>
            <w:r>
              <w:rPr>
                <w:rFonts w:hint="eastAsia" w:ascii="方正仿宋_GBK" w:hAnsi="方正仿宋_GBK" w:eastAsia="方正仿宋_GBK" w:cs="方正仿宋_GBK"/>
                <w:sz w:val="24"/>
                <w:szCs w:val="24"/>
              </w:rPr>
              <w:t>《湖南省无线电管理条例》</w:t>
            </w:r>
          </w:p>
        </w:tc>
        <w:tc>
          <w:tcPr>
            <w:tcW w:w="152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系统内国家工作人员、服务和管理对象</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方正仿宋_GBK" w:cs="宋体"/>
                <w:color w:val="000000"/>
                <w:spacing w:val="0"/>
                <w:w w:val="100"/>
                <w:position w:val="0"/>
                <w:sz w:val="24"/>
                <w:szCs w:val="24"/>
                <w:shd w:val="clear" w:color="auto" w:fill="auto"/>
                <w:vertAlign w:val="baseline"/>
                <w:lang w:val="en-US" w:eastAsia="zh-CN" w:bidi="en-US"/>
              </w:rPr>
            </w:pPr>
            <w:r>
              <w:rPr>
                <w:rFonts w:hint="eastAsia" w:ascii="方正仿宋_GBK" w:eastAsia="方正仿宋_GBK"/>
                <w:bCs/>
                <w:sz w:val="24"/>
                <w:szCs w:val="24"/>
              </w:rPr>
              <w:t>指导、督促、检查各市州无线电管理机构开展无线电管理普法工作；结合无线电管理执法实践，开展以案释法等多形式法治宣传教育；开展“无线电管理宣传月”活动，重点宣传《中华人民共和国无线电管理条例》</w:t>
            </w:r>
            <w:r>
              <w:rPr>
                <w:rFonts w:hint="eastAsia" w:ascii="方正仿宋_GBK" w:eastAsia="方正仿宋_GBK"/>
                <w:bCs/>
                <w:sz w:val="24"/>
                <w:szCs w:val="24"/>
                <w:lang w:eastAsia="zh-CN"/>
              </w:rPr>
              <w:t>、</w:t>
            </w:r>
            <w:r>
              <w:rPr>
                <w:rFonts w:hint="eastAsia" w:ascii="方正仿宋_GBK" w:hAnsi="方正仿宋_GBK" w:eastAsia="方正仿宋_GBK" w:cs="方正仿宋_GBK"/>
                <w:sz w:val="24"/>
                <w:szCs w:val="24"/>
              </w:rPr>
              <w:t>《湖南省无线电管理条例》</w:t>
            </w:r>
            <w:r>
              <w:rPr>
                <w:rFonts w:hint="eastAsia" w:ascii="方正仿宋_GBK" w:eastAsia="方正仿宋_GBK"/>
                <w:bCs/>
                <w:sz w:val="24"/>
                <w:szCs w:val="24"/>
              </w:rPr>
              <w:t>等法律法规</w:t>
            </w:r>
            <w:r>
              <w:rPr>
                <w:rFonts w:hint="eastAsia" w:ascii="方正仿宋_GBK" w:eastAsia="方正仿宋_GBK"/>
                <w:bCs/>
                <w:sz w:val="24"/>
                <w:szCs w:val="24"/>
                <w:lang w:eastAsia="zh-CN"/>
              </w:rPr>
              <w:t>。</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t>毛六平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rPr>
                <w:rFonts w:hint="eastAsia" w:ascii="仿宋_GB2312" w:hAnsi="仿宋" w:eastAsia="仿宋_GB2312" w:cs="宋体"/>
                <w:color w:val="000000"/>
                <w:spacing w:val="0"/>
                <w:w w:val="100"/>
                <w:position w:val="0"/>
                <w:sz w:val="24"/>
                <w:szCs w:val="24"/>
                <w:shd w:val="clear" w:color="auto" w:fill="auto"/>
                <w:vertAlign w:val="baseline"/>
                <w:lang w:val="en-US" w:eastAsia="zh-CN" w:bidi="en-US"/>
              </w:rPr>
            </w:pPr>
            <w:r>
              <w:rPr>
                <w:rFonts w:hint="eastAsia" w:ascii="仿宋_GB2312" w:hAnsi="仿宋" w:eastAsia="仿宋_GB2312" w:cs="宋体"/>
                <w:sz w:val="24"/>
                <w:szCs w:val="24"/>
                <w:vertAlign w:val="baseline"/>
                <w:lang w:eastAsia="zh-CN"/>
              </w:rPr>
              <w:t>无线电管理处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5" w:hRule="exac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p>
        </w:tc>
        <w:tc>
          <w:tcPr>
            <w:tcW w:w="57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_GB2312" w:hAnsi="仿宋" w:eastAsia="仿宋_GB2312" w:cs="宋体"/>
                <w:sz w:val="24"/>
                <w:szCs w:val="24"/>
                <w:vertAlign w:val="baseline"/>
                <w:lang w:val="en-US" w:eastAsia="zh-CN"/>
              </w:rPr>
            </w:pPr>
            <w:r>
              <w:rPr>
                <w:rFonts w:hint="eastAsia" w:ascii="仿宋_GB2312" w:hAnsi="仿宋" w:eastAsia="仿宋_GB2312" w:cs="宋体"/>
                <w:sz w:val="24"/>
                <w:szCs w:val="24"/>
                <w:vertAlign w:val="baseline"/>
                <w:lang w:val="en-US" w:eastAsia="zh-CN"/>
              </w:rPr>
              <w:t>4</w:t>
            </w:r>
          </w:p>
        </w:tc>
        <w:tc>
          <w:tcPr>
            <w:tcW w:w="1682" w:type="dxa"/>
            <w:vAlign w:val="center"/>
          </w:tcPr>
          <w:p>
            <w:pPr>
              <w:pStyle w:val="2"/>
              <w:rPr>
                <w:rFonts w:hint="eastAsia"/>
                <w:lang w:eastAsia="zh-CN"/>
              </w:rPr>
            </w:pPr>
            <w:r>
              <w:rPr>
                <w:rFonts w:hint="eastAsia"/>
                <w:lang w:eastAsia="zh-CN"/>
              </w:rPr>
              <w:t>《</w:t>
            </w:r>
            <w:r>
              <w:rPr>
                <w:rFonts w:hint="eastAsia" w:ascii="方正仿宋_GBK" w:hAnsi="方正仿宋_GBK" w:eastAsia="方正仿宋_GBK" w:cs="方正仿宋_GBK"/>
                <w:sz w:val="24"/>
                <w:szCs w:val="24"/>
                <w:lang w:eastAsia="zh-CN"/>
              </w:rPr>
              <w:t>湖南省节能监察办法</w:t>
            </w:r>
            <w:r>
              <w:rPr>
                <w:rFonts w:hint="eastAsia"/>
                <w:lang w:eastAsia="zh-CN"/>
              </w:rPr>
              <w:t>》</w:t>
            </w:r>
          </w:p>
        </w:tc>
        <w:tc>
          <w:tcPr>
            <w:tcW w:w="152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r>
              <w:rPr>
                <w:rFonts w:hint="eastAsia" w:ascii="仿宋_GB2312" w:hAnsi="仿宋" w:eastAsia="仿宋_GB2312" w:cs="宋体"/>
                <w:sz w:val="24"/>
                <w:szCs w:val="24"/>
                <w:vertAlign w:val="baseline"/>
                <w:lang w:eastAsia="zh-CN"/>
              </w:rPr>
              <w:t>系统内国家工作人员、服务和管理对象</w:t>
            </w:r>
          </w:p>
        </w:tc>
        <w:tc>
          <w:tcPr>
            <w:tcW w:w="4562"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rPr>
            </w:pPr>
            <w:r>
              <w:rPr>
                <w:rFonts w:hint="eastAsia" w:ascii="方正仿宋_GBK" w:eastAsia="方正仿宋_GBK"/>
                <w:bCs/>
                <w:sz w:val="24"/>
                <w:szCs w:val="24"/>
              </w:rPr>
              <w:t>指导、督促、检查各市州</w:t>
            </w:r>
            <w:r>
              <w:rPr>
                <w:rFonts w:hint="eastAsia" w:ascii="方正仿宋_GBK" w:eastAsia="方正仿宋_GBK"/>
                <w:bCs/>
                <w:sz w:val="24"/>
                <w:szCs w:val="24"/>
                <w:lang w:eastAsia="zh-CN"/>
              </w:rPr>
              <w:t>工信局</w:t>
            </w:r>
            <w:r>
              <w:rPr>
                <w:rFonts w:hint="eastAsia" w:ascii="方正仿宋_GBK" w:eastAsia="方正仿宋_GBK"/>
                <w:bCs/>
                <w:sz w:val="24"/>
                <w:szCs w:val="24"/>
              </w:rPr>
              <w:t>开展普法工作，重点宣传</w:t>
            </w:r>
            <w:r>
              <w:rPr>
                <w:rFonts w:hint="eastAsia"/>
                <w:lang w:eastAsia="zh-CN"/>
              </w:rPr>
              <w:t>《</w:t>
            </w:r>
            <w:r>
              <w:rPr>
                <w:rFonts w:hint="eastAsia" w:ascii="方正仿宋_GBK" w:hAnsi="方正仿宋_GBK" w:eastAsia="方正仿宋_GBK" w:cs="方正仿宋_GBK"/>
                <w:sz w:val="24"/>
                <w:szCs w:val="24"/>
                <w:lang w:eastAsia="zh-CN"/>
              </w:rPr>
              <w:t>湖南省节能监察办法</w:t>
            </w:r>
            <w:r>
              <w:rPr>
                <w:rFonts w:hint="eastAsia"/>
                <w:lang w:eastAsia="zh-CN"/>
              </w:rPr>
              <w:t>》</w:t>
            </w:r>
            <w:r>
              <w:rPr>
                <w:rFonts w:hint="eastAsia" w:ascii="方正仿宋_GBK" w:eastAsia="方正仿宋_GBK"/>
                <w:bCs/>
                <w:sz w:val="24"/>
                <w:szCs w:val="24"/>
              </w:rPr>
              <w:t>等法规规章。</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 w:eastAsia="仿宋_GB2312" w:cs="宋体"/>
                <w:sz w:val="24"/>
                <w:szCs w:val="24"/>
                <w:vertAlign w:val="baseline"/>
                <w:lang w:eastAsia="zh-CN"/>
              </w:rPr>
            </w:pPr>
            <w:r>
              <w:rPr>
                <w:rFonts w:hint="eastAsia" w:ascii="仿宋_GB2312" w:hAnsi="仿宋" w:eastAsia="仿宋_GB2312" w:cs="宋体"/>
                <w:sz w:val="24"/>
                <w:szCs w:val="24"/>
                <w:vertAlign w:val="baseline"/>
                <w:lang w:eastAsia="zh-CN"/>
              </w:rPr>
              <w:t>张治平</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黑体" w:eastAsia="仿宋_GB2312"/>
                <w:sz w:val="24"/>
                <w:szCs w:val="24"/>
                <w:lang w:eastAsia="zh-CN"/>
              </w:rPr>
            </w:pPr>
            <w:r>
              <w:rPr>
                <w:rFonts w:hint="eastAsia" w:ascii="仿宋_GB2312" w:hAnsi="黑体" w:eastAsia="仿宋_GB2312"/>
                <w:sz w:val="24"/>
                <w:szCs w:val="24"/>
                <w:lang w:eastAsia="zh-CN"/>
              </w:rPr>
              <w:t>节能与综合利用处</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 w:eastAsia="仿宋_GB2312" w:cs="宋体"/>
                <w:sz w:val="24"/>
                <w:szCs w:val="24"/>
                <w:vertAlign w:val="baseline"/>
              </w:rPr>
            </w:pPr>
            <w:r>
              <w:rPr>
                <w:rFonts w:hint="eastAsia" w:ascii="仿宋_GB2312" w:hAnsi="黑体" w:eastAsia="仿宋_GB2312"/>
                <w:sz w:val="24"/>
                <w:szCs w:val="24"/>
                <w:lang w:eastAsia="zh-CN"/>
              </w:rPr>
              <w:t>省工业通信业节能监察中心</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鼎CS仿宋体">
    <w:altName w:val="方正仿宋_GBK"/>
    <w:panose1 w:val="02010609010101010101"/>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EBE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海狼</cp:lastModifiedBy>
  <dcterms:modified xsi:type="dcterms:W3CDTF">2024-04-30T15:25:51Z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